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CC60DC" w:rsidRPr="001C4F5E" w14:paraId="0751DE79" w14:textId="77777777" w:rsidTr="00DA0E9B">
        <w:trPr>
          <w:trHeight w:val="737"/>
        </w:trPr>
        <w:tc>
          <w:tcPr>
            <w:tcW w:w="2898" w:type="dxa"/>
            <w:tcBorders>
              <w:top w:val="single" w:sz="4" w:space="0" w:color="auto"/>
              <w:left w:val="single" w:sz="4" w:space="0" w:color="auto"/>
              <w:bottom w:val="single" w:sz="4" w:space="0" w:color="auto"/>
              <w:right w:val="single" w:sz="4" w:space="0" w:color="auto"/>
            </w:tcBorders>
            <w:shd w:val="clear" w:color="auto" w:fill="F2F2F2"/>
          </w:tcPr>
          <w:p w14:paraId="09469A12" w14:textId="77777777" w:rsidR="00CC60DC" w:rsidRPr="006573A5" w:rsidRDefault="00CC60DC" w:rsidP="00DA0E9B">
            <w:pPr>
              <w:spacing w:line="240" w:lineRule="auto"/>
              <w:rPr>
                <w:rFonts w:cstheme="minorHAnsi"/>
                <w:b/>
                <w:sz w:val="28"/>
                <w:szCs w:val="28"/>
              </w:rPr>
            </w:pPr>
            <w:bookmarkStart w:id="0" w:name="_Toc98922778"/>
            <w:bookmarkStart w:id="1" w:name="_Toc100032064"/>
            <w:bookmarkStart w:id="2" w:name="_Toc100032519"/>
            <w:bookmarkStart w:id="3" w:name="_Toc100032996"/>
            <w:bookmarkStart w:id="4" w:name="_Toc307562194"/>
            <w:r w:rsidRPr="006573A5">
              <w:rPr>
                <w:rFonts w:cstheme="minorHAnsi"/>
                <w:b/>
                <w:sz w:val="28"/>
                <w:szCs w:val="28"/>
              </w:rPr>
              <w:br w:type="page"/>
              <w:t>Safety Procedure Title: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4915AB6" w14:textId="5CC512E1" w:rsidR="00CC60DC" w:rsidRPr="006573A5" w:rsidRDefault="00CC60DC" w:rsidP="00DA0E9B">
            <w:pPr>
              <w:spacing w:line="240" w:lineRule="auto"/>
              <w:rPr>
                <w:rFonts w:cstheme="minorHAnsi"/>
                <w:b/>
                <w:sz w:val="28"/>
                <w:szCs w:val="28"/>
              </w:rPr>
            </w:pPr>
            <w:r>
              <w:rPr>
                <w:rFonts w:cstheme="minorHAnsi"/>
                <w:b/>
                <w:sz w:val="28"/>
                <w:szCs w:val="28"/>
              </w:rPr>
              <w:t>Disposal of Sharps and Abandoned Needle Pick Up</w:t>
            </w:r>
          </w:p>
        </w:tc>
      </w:tr>
      <w:tr w:rsidR="00CC60DC" w:rsidRPr="00A41690" w14:paraId="7311E32D"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6AD0803A"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Issue Date: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D41AB8" w14:textId="77777777" w:rsidR="00CC60DC" w:rsidRPr="006573A5" w:rsidRDefault="00CC60DC" w:rsidP="00DA0E9B">
            <w:pPr>
              <w:spacing w:line="240" w:lineRule="auto"/>
              <w:rPr>
                <w:rFonts w:cstheme="minorHAnsi"/>
                <w:b/>
                <w:sz w:val="28"/>
                <w:szCs w:val="28"/>
              </w:rPr>
            </w:pPr>
            <w:r>
              <w:rPr>
                <w:rFonts w:cstheme="minorHAnsi"/>
                <w:b/>
                <w:sz w:val="28"/>
                <w:szCs w:val="28"/>
              </w:rPr>
              <w:t>July 2002</w:t>
            </w:r>
          </w:p>
        </w:tc>
      </w:tr>
      <w:tr w:rsidR="00CC60DC" w:rsidRPr="00BF3A0B" w14:paraId="4CF1EFCF"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1045297D"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 xml:space="preserve">Revised Date: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485568DE" w14:textId="77777777" w:rsidR="00CC60DC" w:rsidRDefault="00CC60DC" w:rsidP="00DA0E9B">
            <w:pPr>
              <w:spacing w:after="0" w:line="240" w:lineRule="auto"/>
              <w:rPr>
                <w:b/>
                <w:sz w:val="28"/>
                <w:szCs w:val="28"/>
              </w:rPr>
            </w:pPr>
            <w:r>
              <w:rPr>
                <w:b/>
                <w:sz w:val="28"/>
                <w:szCs w:val="28"/>
              </w:rPr>
              <w:t xml:space="preserve">October 2015; </w:t>
            </w:r>
          </w:p>
          <w:p w14:paraId="0FA4D8EE" w14:textId="77777777" w:rsidR="00CC60DC" w:rsidRPr="00DB3CD7" w:rsidRDefault="00CC60DC" w:rsidP="00DA0E9B">
            <w:pPr>
              <w:spacing w:after="0" w:line="240" w:lineRule="auto"/>
              <w:jc w:val="both"/>
              <w:rPr>
                <w:b/>
                <w:sz w:val="28"/>
                <w:szCs w:val="28"/>
              </w:rPr>
            </w:pPr>
            <w:r w:rsidRPr="00DB3CD7">
              <w:rPr>
                <w:b/>
                <w:sz w:val="28"/>
                <w:szCs w:val="28"/>
              </w:rPr>
              <w:t xml:space="preserve">Charlotte Fetterly, </w:t>
            </w:r>
            <w:proofErr w:type="spellStart"/>
            <w:r w:rsidRPr="00DB3CD7">
              <w:rPr>
                <w:b/>
                <w:sz w:val="28"/>
                <w:szCs w:val="28"/>
              </w:rPr>
              <w:t>M.Sc</w:t>
            </w:r>
            <w:proofErr w:type="spellEnd"/>
            <w:r w:rsidRPr="00DB3CD7">
              <w:rPr>
                <w:b/>
                <w:sz w:val="28"/>
                <w:szCs w:val="28"/>
              </w:rPr>
              <w:t>(A) Occupational Hygienist</w:t>
            </w:r>
          </w:p>
          <w:p w14:paraId="4222D27D" w14:textId="028DB410" w:rsidR="00CC60DC" w:rsidRPr="006573A5" w:rsidRDefault="00CC60DC" w:rsidP="001E5FFB">
            <w:pPr>
              <w:spacing w:after="0" w:line="240" w:lineRule="auto"/>
              <w:rPr>
                <w:rFonts w:cstheme="minorHAnsi"/>
                <w:b/>
                <w:sz w:val="28"/>
                <w:szCs w:val="28"/>
              </w:rPr>
            </w:pPr>
            <w:r w:rsidRPr="00DB3CD7">
              <w:rPr>
                <w:b/>
                <w:sz w:val="28"/>
                <w:szCs w:val="28"/>
              </w:rPr>
              <w:t xml:space="preserve">Fetterly OHS Services Ltd. </w:t>
            </w:r>
            <w:bookmarkStart w:id="5" w:name="_GoBack"/>
            <w:bookmarkEnd w:id="5"/>
            <w:r w:rsidRPr="006F6E70">
              <w:rPr>
                <w:b/>
                <w:szCs w:val="28"/>
              </w:rPr>
              <w:t xml:space="preserve">                </w:t>
            </w:r>
          </w:p>
        </w:tc>
      </w:tr>
      <w:tr w:rsidR="00CC60DC" w:rsidRPr="00A41690" w14:paraId="27F1D4D0"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7889AF5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Prepared by:</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5187FF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Carie Sandferd, Manager, Health and Safety</w:t>
            </w:r>
          </w:p>
        </w:tc>
      </w:tr>
      <w:tr w:rsidR="00CC60DC" w:rsidRPr="00A41690" w14:paraId="78985808"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037DFE3E"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Document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38F395D" w14:textId="4E9BDD52" w:rsidR="00CC60DC" w:rsidRPr="006573A5" w:rsidRDefault="00DA0E9B" w:rsidP="00DA0E9B">
            <w:pPr>
              <w:spacing w:line="240" w:lineRule="auto"/>
              <w:rPr>
                <w:rFonts w:cstheme="minorHAnsi"/>
                <w:b/>
                <w:sz w:val="28"/>
                <w:szCs w:val="28"/>
              </w:rPr>
            </w:pPr>
            <w:r>
              <w:rPr>
                <w:rFonts w:cstheme="minorHAnsi"/>
                <w:b/>
                <w:sz w:val="28"/>
                <w:szCs w:val="28"/>
              </w:rPr>
              <w:t>535799</w:t>
            </w:r>
          </w:p>
        </w:tc>
      </w:tr>
    </w:tbl>
    <w:p w14:paraId="3ADB1269" w14:textId="0CD6BABF" w:rsidR="00EE09AC" w:rsidRPr="006E77B1" w:rsidRDefault="00A207DE" w:rsidP="00703089">
      <w:pPr>
        <w:pStyle w:val="Heading1"/>
        <w:rPr>
          <w:sz w:val="8"/>
          <w:szCs w:val="8"/>
        </w:rPr>
      </w:pPr>
      <w:r>
        <w:rPr>
          <w:noProof/>
        </w:rPr>
        <mc:AlternateContent>
          <mc:Choice Requires="wps">
            <w:drawing>
              <wp:anchor distT="0" distB="0" distL="114300" distR="114300" simplePos="0" relativeHeight="251659264" behindDoc="0" locked="0" layoutInCell="1" allowOverlap="1" wp14:anchorId="24C6E17E" wp14:editId="44A43685">
                <wp:simplePos x="0" y="0"/>
                <wp:positionH relativeFrom="column">
                  <wp:posOffset>-65405</wp:posOffset>
                </wp:positionH>
                <wp:positionV relativeFrom="paragraph">
                  <wp:posOffset>267335</wp:posOffset>
                </wp:positionV>
                <wp:extent cx="6070548" cy="182"/>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6070548" cy="182"/>
                        </a:xfrm>
                        <a:prstGeom prst="line">
                          <a:avLst/>
                        </a:prstGeom>
                        <a:ln w="6350" cmpd="sng">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05pt" to="472.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" strokecolor="black [3213]" strokeweight=".5pt"/>
            </w:pict>
          </mc:Fallback>
        </mc:AlternateContent>
      </w:r>
    </w:p>
    <w:bookmarkEnd w:id="0"/>
    <w:bookmarkEnd w:id="1"/>
    <w:bookmarkEnd w:id="2"/>
    <w:bookmarkEnd w:id="3"/>
    <w:bookmarkEnd w:id="4"/>
    <w:p w14:paraId="088F16A6" w14:textId="77777777" w:rsidR="00D761D9" w:rsidRDefault="00D761D9" w:rsidP="00703089"/>
    <w:p w14:paraId="2C77B9BC" w14:textId="77777777" w:rsidR="00703089" w:rsidRPr="002668CA" w:rsidRDefault="00703089" w:rsidP="00703089">
      <w:r w:rsidRPr="002668CA">
        <w:t>Employees must always watch out for sharp objects that may be encountered and pose a risk of percutaneous injury (e.g. contaminated broken glass at an accident site).</w:t>
      </w:r>
    </w:p>
    <w:p w14:paraId="4AB07995" w14:textId="326210A0" w:rsidR="002D1F3D" w:rsidRDefault="00703089" w:rsidP="00703089">
      <w:r w:rsidRPr="002668CA">
        <w:t xml:space="preserve">Used disposable syringes and needles, scalpel blades, and other sharp items should be placed in puncture-resistant containers for disposal; these containers should be located as close as practical to the </w:t>
      </w:r>
      <w:proofErr w:type="gramStart"/>
      <w:r w:rsidRPr="002668CA">
        <w:t>use</w:t>
      </w:r>
      <w:proofErr w:type="gramEnd"/>
      <w:r w:rsidRPr="002668CA">
        <w:t xml:space="preserve"> area.  All sharps shall be disposed of in an approved container.  Refer to Manage Biomedical Waste guidelines for container specifications.</w:t>
      </w:r>
    </w:p>
    <w:p w14:paraId="6506F034" w14:textId="77777777" w:rsidR="002D1F3D" w:rsidRPr="002668CA" w:rsidRDefault="002D1F3D" w:rsidP="002D1F3D">
      <w:pPr>
        <w:pStyle w:val="Heading3"/>
      </w:pPr>
      <w:r w:rsidRPr="002668CA">
        <w:t>Location of Sharps Pick Up Kits</w:t>
      </w:r>
    </w:p>
    <w:p w14:paraId="05C5030A" w14:textId="7724A216" w:rsidR="002D1F3D" w:rsidRPr="00EA0A6D" w:rsidRDefault="002D1F3D" w:rsidP="002D1F3D">
      <w:r w:rsidRPr="00EA0A6D">
        <w:t>New sharps containers may be obtained from Engineering Operations Stores.</w:t>
      </w:r>
    </w:p>
    <w:p w14:paraId="6F352630" w14:textId="404501C7" w:rsidR="002D1F3D" w:rsidRPr="002668CA" w:rsidRDefault="002D1F3D" w:rsidP="00703089">
      <w:r w:rsidRPr="00EA0A6D">
        <w:t xml:space="preserve">Sharps Pick </w:t>
      </w:r>
      <w:proofErr w:type="gramStart"/>
      <w:r w:rsidRPr="00EA0A6D">
        <w:t>Up</w:t>
      </w:r>
      <w:proofErr w:type="gramEnd"/>
      <w:r w:rsidRPr="00EA0A6D">
        <w:t xml:space="preserve"> Kits contain sharps containers, gloves and tongs.  Sharps containers have been securely installed in the trunks of some City vehicles and are available at various designated locations throughout the City.  </w:t>
      </w:r>
    </w:p>
    <w:p w14:paraId="62D1B223" w14:textId="77777777" w:rsidR="00703089" w:rsidRPr="002668CA" w:rsidRDefault="00703089" w:rsidP="00703089">
      <w:pPr>
        <w:rPr>
          <w:rFonts w:cs="Arial"/>
          <w:b/>
          <w:sz w:val="28"/>
          <w:szCs w:val="28"/>
        </w:rPr>
      </w:pPr>
      <w:r w:rsidRPr="002668CA">
        <w:rPr>
          <w:rFonts w:cs="Arial"/>
          <w:b/>
          <w:sz w:val="28"/>
          <w:szCs w:val="28"/>
        </w:rPr>
        <w:t xml:space="preserve">Picking </w:t>
      </w:r>
      <w:proofErr w:type="gramStart"/>
      <w:r w:rsidRPr="002668CA">
        <w:rPr>
          <w:rFonts w:cs="Arial"/>
          <w:b/>
          <w:sz w:val="28"/>
          <w:szCs w:val="28"/>
        </w:rPr>
        <w:t>Up</w:t>
      </w:r>
      <w:proofErr w:type="gramEnd"/>
      <w:r w:rsidRPr="002668CA">
        <w:rPr>
          <w:rFonts w:cs="Arial"/>
          <w:b/>
          <w:sz w:val="28"/>
          <w:szCs w:val="28"/>
        </w:rPr>
        <w:t xml:space="preserve"> Sharps</w:t>
      </w:r>
    </w:p>
    <w:p w14:paraId="21ABD836" w14:textId="77777777"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 xml:space="preserve">Use something other than gloves (gloves are not puncture-proof) to pick up needles.  Keep a small pair of tongs, or a similar tool with your sharps disposal container.  </w:t>
      </w:r>
    </w:p>
    <w:p w14:paraId="58924DE2" w14:textId="77777777"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Have disposable waterproof gloves (such as natural rubber latex, neoprene, nitrile, and vinyl) and a proper sharps container ready.</w:t>
      </w:r>
    </w:p>
    <w:p w14:paraId="71A40A5B" w14:textId="028713AD" w:rsidR="00D15E06" w:rsidRDefault="00D15E06" w:rsidP="00E90C1D">
      <w:pPr>
        <w:numPr>
          <w:ilvl w:val="0"/>
          <w:numId w:val="2"/>
        </w:numPr>
        <w:tabs>
          <w:tab w:val="num" w:pos="360"/>
        </w:tabs>
        <w:spacing w:after="100" w:afterAutospacing="1" w:line="360" w:lineRule="auto"/>
        <w:ind w:left="360"/>
        <w:rPr>
          <w:rFonts w:cs="Arial"/>
        </w:rPr>
        <w:sectPr w:rsidR="00D15E06">
          <w:headerReference w:type="default" r:id="rId8"/>
          <w:footerReference w:type="even" r:id="rId9"/>
          <w:footerReference w:type="default" r:id="rId10"/>
          <w:pgSz w:w="12240" w:h="15840"/>
          <w:pgMar w:top="1440" w:right="1440" w:bottom="1440" w:left="1440" w:header="720" w:footer="720" w:gutter="0"/>
          <w:cols w:space="720"/>
          <w:docGrid w:linePitch="360"/>
        </w:sectPr>
      </w:pPr>
      <w:r>
        <w:rPr>
          <w:rFonts w:cs="Arial"/>
        </w:rPr>
        <w:t>Wear gloves</w:t>
      </w:r>
    </w:p>
    <w:p w14:paraId="6AB782F9" w14:textId="77777777" w:rsidR="00703089" w:rsidRPr="00D15E06" w:rsidRDefault="00703089" w:rsidP="00D15E06">
      <w:pPr>
        <w:pStyle w:val="ListParagraph"/>
        <w:numPr>
          <w:ilvl w:val="0"/>
          <w:numId w:val="2"/>
        </w:numPr>
        <w:spacing w:after="100" w:afterAutospacing="1" w:line="360" w:lineRule="auto"/>
        <w:ind w:left="360"/>
        <w:rPr>
          <w:rFonts w:cs="Arial"/>
        </w:rPr>
      </w:pPr>
      <w:r w:rsidRPr="00D15E06">
        <w:rPr>
          <w:rFonts w:cs="Arial"/>
        </w:rPr>
        <w:lastRenderedPageBreak/>
        <w:t>Place the sharps container next to the needle or other item.  Place the sharps container on the ground beside the needle.  If possible, place the sharps container on a flat surface.  It is recommended to bring the sharps container to the needle instead of bringing the needle to the sharps container.</w:t>
      </w:r>
    </w:p>
    <w:p w14:paraId="1D286858" w14:textId="77777777"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For uncapped needles, NEVER TRY TO RECAP.</w:t>
      </w:r>
    </w:p>
    <w:p w14:paraId="3237C24C" w14:textId="77777777"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 xml:space="preserve">Use one hand to hold the tongs.  Make sure your </w:t>
      </w:r>
      <w:r w:rsidRPr="002668CA">
        <w:rPr>
          <w:rFonts w:cs="Arial"/>
          <w:b/>
        </w:rPr>
        <w:t xml:space="preserve">other hand </w:t>
      </w:r>
      <w:r w:rsidRPr="002668CA">
        <w:rPr>
          <w:rFonts w:cs="Arial"/>
        </w:rPr>
        <w:t xml:space="preserve">is well </w:t>
      </w:r>
      <w:r w:rsidRPr="002668CA">
        <w:rPr>
          <w:rFonts w:cs="Arial"/>
          <w:b/>
        </w:rPr>
        <w:t xml:space="preserve">away </w:t>
      </w:r>
      <w:r w:rsidRPr="002668CA">
        <w:rPr>
          <w:rFonts w:cs="Arial"/>
        </w:rPr>
        <w:t xml:space="preserve">from the </w:t>
      </w:r>
      <w:r w:rsidRPr="002668CA">
        <w:rPr>
          <w:rFonts w:cs="Arial"/>
          <w:b/>
        </w:rPr>
        <w:t xml:space="preserve">sharp </w:t>
      </w:r>
      <w:r w:rsidRPr="002668CA">
        <w:rPr>
          <w:rFonts w:cs="Arial"/>
        </w:rPr>
        <w:t xml:space="preserve">and the </w:t>
      </w:r>
      <w:r w:rsidRPr="002668CA">
        <w:rPr>
          <w:rFonts w:cs="Arial"/>
          <w:b/>
        </w:rPr>
        <w:t xml:space="preserve">container.  </w:t>
      </w:r>
      <w:r w:rsidRPr="002668CA">
        <w:rPr>
          <w:rFonts w:cs="Arial"/>
        </w:rPr>
        <w:t>Do not hold the container in your hand, or you might accidentally puncture yourself.</w:t>
      </w:r>
    </w:p>
    <w:p w14:paraId="2025BEA5" w14:textId="77777777"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Use the tongs to pick up one sharp at a time.  Ensure the needle point is pointed away from you when picking up the sharp.</w:t>
      </w:r>
    </w:p>
    <w:p w14:paraId="630F7C08" w14:textId="77777777"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Do not bend, break, or shear contaminated sharps.</w:t>
      </w:r>
    </w:p>
    <w:p w14:paraId="641632AB" w14:textId="77777777"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Do not forcibly push the sharp into the container.</w:t>
      </w:r>
    </w:p>
    <w:p w14:paraId="42A2BC50" w14:textId="77777777"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Do not place hands in sharps disposal containers, and do not open or empty such containers.</w:t>
      </w:r>
    </w:p>
    <w:p w14:paraId="781F1C01" w14:textId="3D91ADA2"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Place the sharp with the point down in th</w:t>
      </w:r>
      <w:r w:rsidR="00D53C21">
        <w:rPr>
          <w:rFonts w:cs="Arial"/>
        </w:rPr>
        <w:t xml:space="preserve">e container.  When placing the </w:t>
      </w:r>
      <w:r w:rsidRPr="002668CA">
        <w:rPr>
          <w:rFonts w:cs="Arial"/>
        </w:rPr>
        <w:t xml:space="preserve">sharp in the container, ensure your other hand is kept clear of the </w:t>
      </w:r>
      <w:r w:rsidRPr="002668CA">
        <w:rPr>
          <w:rFonts w:cs="Arial"/>
          <w:b/>
        </w:rPr>
        <w:t xml:space="preserve">container </w:t>
      </w:r>
      <w:r w:rsidRPr="002668CA">
        <w:rPr>
          <w:rFonts w:cs="Arial"/>
        </w:rPr>
        <w:t xml:space="preserve">and the </w:t>
      </w:r>
      <w:r w:rsidRPr="002668CA">
        <w:rPr>
          <w:rFonts w:cs="Arial"/>
          <w:b/>
        </w:rPr>
        <w:t>sharp.</w:t>
      </w:r>
    </w:p>
    <w:p w14:paraId="5C82557D" w14:textId="77777777" w:rsidR="00703089" w:rsidRPr="00E90C1D" w:rsidRDefault="00703089" w:rsidP="00E90C1D">
      <w:pPr>
        <w:numPr>
          <w:ilvl w:val="0"/>
          <w:numId w:val="2"/>
        </w:numPr>
        <w:tabs>
          <w:tab w:val="num" w:pos="360"/>
        </w:tabs>
        <w:spacing w:after="100" w:afterAutospacing="1" w:line="360" w:lineRule="auto"/>
        <w:ind w:left="360"/>
        <w:rPr>
          <w:rFonts w:cs="Arial"/>
        </w:rPr>
      </w:pPr>
      <w:r w:rsidRPr="002668CA">
        <w:rPr>
          <w:rFonts w:cs="Arial"/>
        </w:rPr>
        <w:t>Keep sharps disposal containers upright.</w:t>
      </w:r>
    </w:p>
    <w:p w14:paraId="6B0B4F32" w14:textId="15766993" w:rsidR="00703089" w:rsidRPr="00D53C21" w:rsidRDefault="00703089" w:rsidP="00E90C1D">
      <w:pPr>
        <w:numPr>
          <w:ilvl w:val="0"/>
          <w:numId w:val="2"/>
        </w:numPr>
        <w:tabs>
          <w:tab w:val="num" w:pos="360"/>
        </w:tabs>
        <w:spacing w:after="100" w:afterAutospacing="1" w:line="360" w:lineRule="auto"/>
        <w:ind w:left="360"/>
        <w:rPr>
          <w:rFonts w:cs="Arial"/>
        </w:rPr>
      </w:pPr>
      <w:r w:rsidRPr="002668CA">
        <w:rPr>
          <w:rFonts w:cs="Arial"/>
        </w:rPr>
        <w:t>Replace sharps containers frequently.  It is recommended good practice to fill sharps containers to no more than three-quarters of their usable volume or to fill sharps containers to their fill line.  When a container is about ¾ full, bring it to the designated sharps disposal area for disposal.  Ask your supervisor where your area’s designated sharps disposal area is located.</w:t>
      </w:r>
    </w:p>
    <w:p w14:paraId="2BEA2C1F" w14:textId="77777777" w:rsidR="00703089" w:rsidRPr="00E90C1D" w:rsidRDefault="00703089" w:rsidP="00E90C1D">
      <w:pPr>
        <w:numPr>
          <w:ilvl w:val="0"/>
          <w:numId w:val="2"/>
        </w:numPr>
        <w:tabs>
          <w:tab w:val="left" w:pos="0"/>
          <w:tab w:val="num" w:pos="360"/>
        </w:tabs>
        <w:spacing w:after="100" w:afterAutospacing="1" w:line="360" w:lineRule="auto"/>
        <w:ind w:left="360"/>
        <w:rPr>
          <w:rFonts w:cs="Arial"/>
        </w:rPr>
      </w:pPr>
      <w:r w:rsidRPr="002668CA">
        <w:rPr>
          <w:rFonts w:cs="Arial"/>
        </w:rPr>
        <w:t xml:space="preserve">Sharps containers shall not be completely filled, as overfilling may pose a hazard to those persons using and discarding the containers.  Lids shall be securely </w:t>
      </w:r>
      <w:r w:rsidRPr="002668CA">
        <w:rPr>
          <w:rFonts w:cs="Arial"/>
        </w:rPr>
        <w:tab/>
        <w:t>fastened prior to use.</w:t>
      </w:r>
    </w:p>
    <w:p w14:paraId="51AB7DF2" w14:textId="77777777" w:rsidR="00703089" w:rsidRPr="00E90C1D" w:rsidRDefault="00703089" w:rsidP="00E90C1D">
      <w:pPr>
        <w:numPr>
          <w:ilvl w:val="0"/>
          <w:numId w:val="2"/>
        </w:numPr>
        <w:tabs>
          <w:tab w:val="left" w:pos="0"/>
          <w:tab w:val="num" w:pos="360"/>
        </w:tabs>
        <w:spacing w:after="100" w:afterAutospacing="1" w:line="360" w:lineRule="auto"/>
        <w:ind w:left="360"/>
        <w:rPr>
          <w:rFonts w:cs="Arial"/>
        </w:rPr>
      </w:pPr>
      <w:r w:rsidRPr="002668CA">
        <w:rPr>
          <w:rFonts w:cs="Arial"/>
        </w:rPr>
        <w:t>Obtain a new container.</w:t>
      </w:r>
    </w:p>
    <w:p w14:paraId="3B0BA134" w14:textId="77777777" w:rsidR="00703089" w:rsidRPr="002668CA" w:rsidRDefault="00703089" w:rsidP="00E90C1D">
      <w:pPr>
        <w:numPr>
          <w:ilvl w:val="0"/>
          <w:numId w:val="2"/>
        </w:numPr>
        <w:tabs>
          <w:tab w:val="left" w:pos="0"/>
          <w:tab w:val="num" w:pos="360"/>
        </w:tabs>
        <w:spacing w:after="100" w:afterAutospacing="1" w:line="360" w:lineRule="auto"/>
        <w:ind w:left="360"/>
        <w:rPr>
          <w:rFonts w:cs="Arial"/>
        </w:rPr>
      </w:pPr>
      <w:r w:rsidRPr="002668CA">
        <w:rPr>
          <w:rFonts w:cs="Arial"/>
        </w:rPr>
        <w:t>Remove and discard the gloves using Single Use Disposable Glove Removal guidelines.  Wash your hands according with soap and water.  Refer to the Wash Hand guideline for further hand washing guidelines.</w:t>
      </w:r>
    </w:p>
    <w:p w14:paraId="1274DAD1" w14:textId="77777777" w:rsidR="00703089" w:rsidRPr="00AA38A9" w:rsidRDefault="00703089" w:rsidP="00703089">
      <w:pPr>
        <w:pStyle w:val="Heading2"/>
        <w:rPr>
          <w:i w:val="0"/>
        </w:rPr>
      </w:pPr>
      <w:bookmarkStart w:id="6" w:name="_Toc98922779"/>
      <w:bookmarkStart w:id="7" w:name="_Toc100032065"/>
      <w:bookmarkStart w:id="8" w:name="_Toc100032520"/>
      <w:bookmarkStart w:id="9" w:name="_Toc100032997"/>
      <w:bookmarkStart w:id="10" w:name="_Toc303866694"/>
      <w:bookmarkStart w:id="11" w:name="_Toc303868174"/>
      <w:bookmarkStart w:id="12" w:name="_Toc307561635"/>
      <w:bookmarkStart w:id="13" w:name="_Toc307562195"/>
      <w:r w:rsidRPr="00AA38A9">
        <w:rPr>
          <w:i w:val="0"/>
        </w:rPr>
        <w:t>RECOMMENDATIONS FOR DISPOSING OF USED HYPODERMIC NEEDLES</w:t>
      </w:r>
      <w:bookmarkEnd w:id="6"/>
      <w:bookmarkEnd w:id="7"/>
      <w:bookmarkEnd w:id="8"/>
      <w:bookmarkEnd w:id="9"/>
      <w:bookmarkEnd w:id="10"/>
      <w:bookmarkEnd w:id="11"/>
      <w:bookmarkEnd w:id="12"/>
      <w:bookmarkEnd w:id="13"/>
    </w:p>
    <w:p w14:paraId="6C5DF284" w14:textId="0B0B62FF" w:rsidR="00703089" w:rsidRPr="00D53C21" w:rsidRDefault="00703089" w:rsidP="00D53C21">
      <w:pPr>
        <w:numPr>
          <w:ilvl w:val="0"/>
          <w:numId w:val="1"/>
        </w:numPr>
        <w:tabs>
          <w:tab w:val="clear" w:pos="720"/>
          <w:tab w:val="num" w:pos="360"/>
        </w:tabs>
        <w:spacing w:after="0" w:line="360" w:lineRule="auto"/>
        <w:ind w:left="360"/>
        <w:rPr>
          <w:rFonts w:cs="Arial"/>
        </w:rPr>
      </w:pPr>
      <w:r w:rsidRPr="002668CA">
        <w:rPr>
          <w:rFonts w:cs="Arial"/>
        </w:rPr>
        <w:t>Use sharps pick up kits, or avoid possibly contaminated materials to prevent occupational exposures.</w:t>
      </w:r>
    </w:p>
    <w:p w14:paraId="5351F7B1" w14:textId="05299BF3" w:rsidR="00703089" w:rsidRPr="00D53C21" w:rsidRDefault="00703089" w:rsidP="00D53C21">
      <w:pPr>
        <w:numPr>
          <w:ilvl w:val="0"/>
          <w:numId w:val="1"/>
        </w:numPr>
        <w:tabs>
          <w:tab w:val="clear" w:pos="720"/>
          <w:tab w:val="num" w:pos="360"/>
        </w:tabs>
        <w:spacing w:after="0" w:line="360" w:lineRule="auto"/>
        <w:ind w:left="360"/>
        <w:rPr>
          <w:rFonts w:cs="Arial"/>
        </w:rPr>
      </w:pPr>
      <w:r w:rsidRPr="002668CA">
        <w:rPr>
          <w:rFonts w:cs="Arial"/>
        </w:rPr>
        <w:t xml:space="preserve">Look before reaching.  Don’t use your hands to feel or reach into any area or container if you can’t see the contents or if you don’t know what’s there.  Use a long-handled stick or other object – not </w:t>
      </w:r>
      <w:r w:rsidRPr="002668CA">
        <w:rPr>
          <w:rFonts w:cs="Arial"/>
        </w:rPr>
        <w:lastRenderedPageBreak/>
        <w:t>your hands – to explore hidden spots.  A flashlight could be used to move objects and to shed light on hard-to-see objects.</w:t>
      </w:r>
    </w:p>
    <w:p w14:paraId="0A981C0B" w14:textId="77777777" w:rsidR="00703089" w:rsidRPr="002668CA" w:rsidRDefault="00703089" w:rsidP="00D53C21">
      <w:pPr>
        <w:numPr>
          <w:ilvl w:val="0"/>
          <w:numId w:val="1"/>
        </w:numPr>
        <w:tabs>
          <w:tab w:val="clear" w:pos="720"/>
          <w:tab w:val="num" w:pos="360"/>
        </w:tabs>
        <w:spacing w:after="0" w:line="360" w:lineRule="auto"/>
        <w:ind w:left="360"/>
        <w:rPr>
          <w:rFonts w:cs="Arial"/>
        </w:rPr>
      </w:pPr>
      <w:r w:rsidRPr="002668CA">
        <w:rPr>
          <w:rFonts w:cs="Arial"/>
        </w:rPr>
        <w:t>Empty the contents of purses, packs, and other containers by turning them upside down over a table or other flat surface.</w:t>
      </w:r>
    </w:p>
    <w:p w14:paraId="28506483" w14:textId="77777777" w:rsidR="00D53C21" w:rsidRDefault="00D53C21" w:rsidP="00703089">
      <w:pPr>
        <w:pStyle w:val="Heading3"/>
      </w:pPr>
      <w:bookmarkStart w:id="14" w:name="_Toc98922780"/>
      <w:bookmarkStart w:id="15" w:name="_Toc100032066"/>
      <w:bookmarkStart w:id="16" w:name="_Toc100032521"/>
      <w:bookmarkStart w:id="17" w:name="_Toc100032998"/>
      <w:bookmarkStart w:id="18" w:name="_Toc303866695"/>
      <w:bookmarkStart w:id="19" w:name="_Toc303868175"/>
      <w:bookmarkStart w:id="20" w:name="_Toc307561636"/>
      <w:bookmarkStart w:id="21" w:name="_Toc307562196"/>
    </w:p>
    <w:p w14:paraId="63F6A77C" w14:textId="09EE2C18" w:rsidR="00D53C21" w:rsidRDefault="00703089" w:rsidP="00D53C21">
      <w:pPr>
        <w:pStyle w:val="Heading3"/>
      </w:pPr>
      <w:bookmarkStart w:id="22" w:name="_Toc98922781"/>
      <w:bookmarkStart w:id="23" w:name="_Toc100032067"/>
      <w:bookmarkStart w:id="24" w:name="_Toc100032522"/>
      <w:bookmarkStart w:id="25" w:name="_Toc100032999"/>
      <w:bookmarkStart w:id="26" w:name="_Toc303866696"/>
      <w:bookmarkStart w:id="27" w:name="_Toc303868176"/>
      <w:bookmarkStart w:id="28" w:name="_Toc307561637"/>
      <w:bookmarkStart w:id="29" w:name="_Toc307562197"/>
      <w:bookmarkEnd w:id="14"/>
      <w:bookmarkEnd w:id="15"/>
      <w:bookmarkEnd w:id="16"/>
      <w:bookmarkEnd w:id="17"/>
      <w:bookmarkEnd w:id="18"/>
      <w:bookmarkEnd w:id="19"/>
      <w:bookmarkEnd w:id="20"/>
      <w:bookmarkEnd w:id="21"/>
      <w:r w:rsidRPr="002668CA">
        <w:t>Disposal of Sharps Containers</w:t>
      </w:r>
      <w:bookmarkEnd w:id="22"/>
      <w:bookmarkEnd w:id="23"/>
      <w:bookmarkEnd w:id="24"/>
      <w:bookmarkEnd w:id="25"/>
      <w:bookmarkEnd w:id="26"/>
      <w:bookmarkEnd w:id="27"/>
      <w:bookmarkEnd w:id="28"/>
      <w:bookmarkEnd w:id="29"/>
    </w:p>
    <w:p w14:paraId="5BD4CF64" w14:textId="12EADC7B" w:rsidR="00D53C21" w:rsidRPr="00EA0A6D" w:rsidRDefault="00D53C21" w:rsidP="00EA0A6D">
      <w:r w:rsidRPr="00EA0A6D">
        <w:t xml:space="preserve">When a container is about ¾ full, deliver the sharps containers to the front reception at the Fraser Health, New Westminster Public Health Unit for disposal.  </w:t>
      </w:r>
    </w:p>
    <w:p w14:paraId="41E299FF" w14:textId="57192516" w:rsidR="00D53C21" w:rsidRPr="00EA0A6D" w:rsidRDefault="00D53C21" w:rsidP="00EA0A6D">
      <w:r w:rsidRPr="00EA0A6D">
        <w:t>Sharps containers shall not be completely filled, as overfilling may pose a hazard to those persons using and discarding the containers.  Lids shall be securely fastened.</w:t>
      </w:r>
    </w:p>
    <w:p w14:paraId="2D3A937F" w14:textId="77777777" w:rsidR="00D53C21" w:rsidRPr="00EA0A6D" w:rsidRDefault="00D53C21" w:rsidP="00EA0A6D">
      <w:r w:rsidRPr="00EA0A6D">
        <w:t>The Fraser Health, New Westminster Public Health Unit is located at</w:t>
      </w:r>
      <w:proofErr w:type="gramStart"/>
      <w:r w:rsidRPr="00EA0A6D">
        <w:t>:</w:t>
      </w:r>
      <w:proofErr w:type="gramEnd"/>
      <w:r w:rsidRPr="00EA0A6D">
        <w:br/>
        <w:t>610 Sixth Street, New Westminster (Second Floor in Royal City Center Mall)</w:t>
      </w:r>
    </w:p>
    <w:p w14:paraId="1B0E45E8" w14:textId="7AB0A4FD" w:rsidR="00D53C21" w:rsidRPr="00EA0A6D" w:rsidRDefault="00D53C21" w:rsidP="00EA0A6D">
      <w:r w:rsidRPr="00EA0A6D">
        <w:t>Phone: 604.777.6740</w:t>
      </w:r>
    </w:p>
    <w:p w14:paraId="4B3F94BD" w14:textId="65B6829B" w:rsidR="00D53C21" w:rsidRPr="00EA0A6D" w:rsidRDefault="00D53C21" w:rsidP="00EA0A6D">
      <w:r w:rsidRPr="00EA0A6D">
        <w:t>Their hours of operation are Monday to Friday, 8:30am to 4:30pm, but closed for lunch from 12:00pm to 1:00pm.</w:t>
      </w:r>
    </w:p>
    <w:p w14:paraId="5B5EA835" w14:textId="25BD6886" w:rsidR="00703089" w:rsidRPr="00EA0A6D" w:rsidRDefault="00D53C21" w:rsidP="00EA0A6D">
      <w:r w:rsidRPr="00EA0A6D">
        <w:t xml:space="preserve">Used sharps are considered a “biomedical waste” and must be disposed of in accordance with federal, provincial and local regulations.  Do not discard sharps containers into the regular garbage.  </w:t>
      </w:r>
    </w:p>
    <w:p w14:paraId="5967F09D" w14:textId="77777777" w:rsidR="00703089" w:rsidRPr="002668CA" w:rsidRDefault="00703089" w:rsidP="00703089">
      <w:pPr>
        <w:tabs>
          <w:tab w:val="left" w:pos="0"/>
        </w:tabs>
        <w:rPr>
          <w:rFonts w:cs="Arial"/>
          <w:b/>
        </w:rPr>
      </w:pPr>
      <w:r w:rsidRPr="002668CA">
        <w:rPr>
          <w:rFonts w:cs="Arial"/>
          <w:b/>
        </w:rPr>
        <w:t>PICKING UP CONDOMS</w:t>
      </w:r>
    </w:p>
    <w:p w14:paraId="5AF50FE1" w14:textId="41A6700D" w:rsidR="00016625" w:rsidRPr="0025583F" w:rsidRDefault="00703089" w:rsidP="0025583F">
      <w:pPr>
        <w:tabs>
          <w:tab w:val="left" w:pos="0"/>
        </w:tabs>
        <w:rPr>
          <w:rFonts w:cs="Arial"/>
        </w:rPr>
      </w:pPr>
      <w:r w:rsidRPr="002668CA">
        <w:rPr>
          <w:rFonts w:cs="Arial"/>
        </w:rPr>
        <w:t>If you find a used condom, do not use your bare hands to pick it up.  Use waterproof gloves, tongs, or something else to pick it up and throw it in the garbage.</w:t>
      </w:r>
    </w:p>
    <w:sectPr w:rsidR="00016625" w:rsidRPr="002558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BCE9" w14:textId="77777777" w:rsidR="00DA0E9B" w:rsidRDefault="00DA0E9B" w:rsidP="00AD2EF4">
      <w:pPr>
        <w:spacing w:after="0" w:line="240" w:lineRule="auto"/>
      </w:pPr>
      <w:r>
        <w:separator/>
      </w:r>
    </w:p>
  </w:endnote>
  <w:endnote w:type="continuationSeparator" w:id="0">
    <w:p w14:paraId="570E1AAC" w14:textId="77777777" w:rsidR="00DA0E9B" w:rsidRDefault="00DA0E9B" w:rsidP="00A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3CE2A" w14:textId="77777777" w:rsidR="006E77B1" w:rsidRDefault="006E77B1"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D707" w14:textId="77777777" w:rsidR="006E77B1" w:rsidRDefault="006E7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FBB3" w14:textId="77777777" w:rsidR="006E77B1" w:rsidRDefault="006E77B1"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FFB">
      <w:rPr>
        <w:rStyle w:val="PageNumber"/>
        <w:noProof/>
      </w:rPr>
      <w:t>1</w:t>
    </w:r>
    <w:r>
      <w:rPr>
        <w:rStyle w:val="PageNumber"/>
      </w:rPr>
      <w:fldChar w:fldCharType="end"/>
    </w:r>
  </w:p>
  <w:p w14:paraId="17582458" w14:textId="77777777" w:rsidR="00DA0E9B" w:rsidRPr="006E77B1" w:rsidRDefault="00DA0E9B" w:rsidP="006E77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1417" w14:textId="77777777" w:rsidR="00DA0E9B" w:rsidRDefault="00DA0E9B" w:rsidP="00AD2EF4">
      <w:pPr>
        <w:spacing w:after="0" w:line="240" w:lineRule="auto"/>
      </w:pPr>
      <w:r>
        <w:separator/>
      </w:r>
    </w:p>
  </w:footnote>
  <w:footnote w:type="continuationSeparator" w:id="0">
    <w:p w14:paraId="52BC0872" w14:textId="77777777" w:rsidR="00DA0E9B" w:rsidRDefault="00DA0E9B" w:rsidP="00AD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DA27" w14:textId="2ECA813C" w:rsidR="00DA0E9B" w:rsidRPr="00CC60DC" w:rsidRDefault="00DA0E9B" w:rsidP="00CC60DC">
    <w:pPr>
      <w:jc w:val="center"/>
      <w:rPr>
        <w:rFonts w:cstheme="minorHAnsi"/>
        <w:sz w:val="48"/>
        <w:szCs w:val="48"/>
      </w:rPr>
    </w:pPr>
    <w:r>
      <w:rPr>
        <w:noProof/>
      </w:rPr>
      <w:drawing>
        <wp:inline distT="0" distB="0" distL="0" distR="0" wp14:anchorId="5B6BAE64" wp14:editId="4D0E0B0B">
          <wp:extent cx="2503170" cy="698855"/>
          <wp:effectExtent l="0" t="0" r="0" b="6350"/>
          <wp:docPr id="1" name="Picture 1" descr="CNW_DOCS-#115091-v1-Safety_Support_Staff_2009_Sept_CNW_Logo_med_resolution_for_Documen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W_DOCS-#115091-v1-Safety_Support_Staff_2009_Sept_CNW_Logo_med_resolution_for_Document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061" cy="701896"/>
                  </a:xfrm>
                  <a:prstGeom prst="rect">
                    <a:avLst/>
                  </a:prstGeom>
                  <a:noFill/>
                  <a:ln>
                    <a:noFill/>
                  </a:ln>
                </pic:spPr>
              </pic:pic>
            </a:graphicData>
          </a:graphic>
        </wp:inline>
      </w:drawing>
    </w:r>
    <w:r>
      <w:rPr>
        <w:rFonts w:cstheme="minorHAnsi"/>
        <w:sz w:val="48"/>
        <w:szCs w:val="48"/>
      </w:rPr>
      <w:t xml:space="preserve">    SAFETY </w:t>
    </w:r>
    <w:r w:rsidRPr="00762325">
      <w:rPr>
        <w:rFonts w:cstheme="minorHAnsi"/>
        <w:sz w:val="48"/>
        <w:szCs w:val="48"/>
      </w:rPr>
      <w:t>P</w:t>
    </w:r>
    <w:r>
      <w:rPr>
        <w:rFonts w:cstheme="minorHAnsi"/>
        <w:sz w:val="48"/>
        <w:szCs w:val="48"/>
      </w:rPr>
      <w:t>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D15E06" w14:paraId="35ACE9AB" w14:textId="77777777" w:rsidTr="00BE37E3">
      <w:trPr>
        <w:trHeight w:val="288"/>
      </w:trPr>
      <w:tc>
        <w:tcPr>
          <w:tcW w:w="7765" w:type="dxa"/>
        </w:tcPr>
        <w:p w14:paraId="3AFA9F3F" w14:textId="47F4EAE2" w:rsidR="00D15E06" w:rsidRDefault="00D15E06" w:rsidP="00BE37E3">
          <w:pPr>
            <w:pStyle w:val="Header"/>
            <w:jc w:val="right"/>
            <w:rPr>
              <w:rFonts w:ascii="Cambria" w:hAnsi="Cambria"/>
              <w:sz w:val="36"/>
              <w:szCs w:val="36"/>
            </w:rPr>
          </w:pPr>
          <w:r>
            <w:rPr>
              <w:rFonts w:ascii="Arial" w:hAnsi="Arial" w:cs="Arial"/>
              <w:sz w:val="16"/>
              <w:szCs w:val="16"/>
            </w:rPr>
            <w:t>Disposal of Sharps and Abandoned Needle Pick Up</w:t>
          </w:r>
        </w:p>
      </w:tc>
      <w:tc>
        <w:tcPr>
          <w:tcW w:w="1105" w:type="dxa"/>
        </w:tcPr>
        <w:p w14:paraId="3BBBFB85" w14:textId="77777777" w:rsidR="00D15E06" w:rsidRDefault="00D15E06" w:rsidP="00BE37E3">
          <w:pPr>
            <w:pStyle w:val="Header"/>
            <w:rPr>
              <w:rFonts w:ascii="Cambria" w:hAnsi="Cambria"/>
              <w:b/>
              <w:bCs/>
              <w:color w:val="4F81BD"/>
              <w:sz w:val="36"/>
              <w:szCs w:val="36"/>
            </w:rPr>
          </w:pPr>
          <w:r w:rsidRPr="00033A21">
            <w:rPr>
              <w:rFonts w:ascii="Arial" w:hAnsi="Arial" w:cs="Arial"/>
              <w:b/>
              <w:bCs/>
              <w:sz w:val="16"/>
              <w:szCs w:val="16"/>
            </w:rPr>
            <w:t>201</w:t>
          </w:r>
          <w:r>
            <w:rPr>
              <w:rFonts w:ascii="Arial" w:hAnsi="Arial" w:cs="Arial"/>
              <w:b/>
              <w:bCs/>
              <w:sz w:val="16"/>
              <w:szCs w:val="16"/>
            </w:rPr>
            <w:t>5</w:t>
          </w:r>
        </w:p>
      </w:tc>
    </w:tr>
  </w:tbl>
  <w:p w14:paraId="725E4FE7" w14:textId="77777777" w:rsidR="00D15E06" w:rsidRDefault="00D15E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42DB7"/>
    <w:multiLevelType w:val="hybridMultilevel"/>
    <w:tmpl w:val="E84A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837A6B"/>
    <w:multiLevelType w:val="hybridMultilevel"/>
    <w:tmpl w:val="261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F4"/>
    <w:rsid w:val="00016625"/>
    <w:rsid w:val="00051C46"/>
    <w:rsid w:val="001E5FFB"/>
    <w:rsid w:val="0025583F"/>
    <w:rsid w:val="002D1F3D"/>
    <w:rsid w:val="00346113"/>
    <w:rsid w:val="00423119"/>
    <w:rsid w:val="006E77B1"/>
    <w:rsid w:val="00703089"/>
    <w:rsid w:val="0087614B"/>
    <w:rsid w:val="008B1606"/>
    <w:rsid w:val="008B51A4"/>
    <w:rsid w:val="00A207DE"/>
    <w:rsid w:val="00A37921"/>
    <w:rsid w:val="00AA5151"/>
    <w:rsid w:val="00AA6819"/>
    <w:rsid w:val="00AD2EF4"/>
    <w:rsid w:val="00BA516B"/>
    <w:rsid w:val="00C5305D"/>
    <w:rsid w:val="00CA7278"/>
    <w:rsid w:val="00CC60DC"/>
    <w:rsid w:val="00D15E06"/>
    <w:rsid w:val="00D41790"/>
    <w:rsid w:val="00D53C21"/>
    <w:rsid w:val="00D761D9"/>
    <w:rsid w:val="00DA0E9B"/>
    <w:rsid w:val="00E90C1D"/>
    <w:rsid w:val="00EA0A6D"/>
    <w:rsid w:val="00EE09AC"/>
    <w:rsid w:val="00F7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592">
      <w:bodyDiv w:val="1"/>
      <w:marLeft w:val="0"/>
      <w:marRight w:val="0"/>
      <w:marTop w:val="0"/>
      <w:marBottom w:val="0"/>
      <w:divBdr>
        <w:top w:val="none" w:sz="0" w:space="0" w:color="auto"/>
        <w:left w:val="none" w:sz="0" w:space="0" w:color="auto"/>
        <w:bottom w:val="none" w:sz="0" w:space="0" w:color="auto"/>
        <w:right w:val="none" w:sz="0" w:space="0" w:color="auto"/>
      </w:divBdr>
      <w:divsChild>
        <w:div w:id="878052643">
          <w:marLeft w:val="0"/>
          <w:marRight w:val="0"/>
          <w:marTop w:val="0"/>
          <w:marBottom w:val="0"/>
          <w:divBdr>
            <w:top w:val="none" w:sz="0" w:space="0" w:color="auto"/>
            <w:left w:val="none" w:sz="0" w:space="0" w:color="auto"/>
            <w:bottom w:val="none" w:sz="0" w:space="0" w:color="auto"/>
            <w:right w:val="none" w:sz="0" w:space="0" w:color="auto"/>
          </w:divBdr>
          <w:divsChild>
            <w:div w:id="1032342454">
              <w:marLeft w:val="0"/>
              <w:marRight w:val="0"/>
              <w:marTop w:val="0"/>
              <w:marBottom w:val="0"/>
              <w:divBdr>
                <w:top w:val="none" w:sz="0" w:space="0" w:color="auto"/>
                <w:left w:val="none" w:sz="0" w:space="0" w:color="auto"/>
                <w:bottom w:val="none" w:sz="0" w:space="0" w:color="auto"/>
                <w:right w:val="none" w:sz="0" w:space="0" w:color="auto"/>
              </w:divBdr>
              <w:divsChild>
                <w:div w:id="2059358055">
                  <w:marLeft w:val="0"/>
                  <w:marRight w:val="0"/>
                  <w:marTop w:val="0"/>
                  <w:marBottom w:val="0"/>
                  <w:divBdr>
                    <w:top w:val="none" w:sz="0" w:space="0" w:color="auto"/>
                    <w:left w:val="none" w:sz="0" w:space="0" w:color="auto"/>
                    <w:bottom w:val="none" w:sz="0" w:space="0" w:color="auto"/>
                    <w:right w:val="none" w:sz="0" w:space="0" w:color="auto"/>
                  </w:divBdr>
                  <w:divsChild>
                    <w:div w:id="1565993152">
                      <w:marLeft w:val="0"/>
                      <w:marRight w:val="0"/>
                      <w:marTop w:val="0"/>
                      <w:marBottom w:val="0"/>
                      <w:divBdr>
                        <w:top w:val="none" w:sz="0" w:space="0" w:color="auto"/>
                        <w:left w:val="none" w:sz="0" w:space="0" w:color="auto"/>
                        <w:bottom w:val="none" w:sz="0" w:space="0" w:color="auto"/>
                        <w:right w:val="none" w:sz="0" w:space="0" w:color="auto"/>
                      </w:divBdr>
                      <w:divsChild>
                        <w:div w:id="1273439530">
                          <w:marLeft w:val="0"/>
                          <w:marRight w:val="0"/>
                          <w:marTop w:val="0"/>
                          <w:marBottom w:val="0"/>
                          <w:divBdr>
                            <w:top w:val="none" w:sz="0" w:space="0" w:color="auto"/>
                            <w:left w:val="none" w:sz="0" w:space="0" w:color="auto"/>
                            <w:bottom w:val="none" w:sz="0" w:space="0" w:color="auto"/>
                            <w:right w:val="none" w:sz="0" w:space="0" w:color="auto"/>
                          </w:divBdr>
                          <w:divsChild>
                            <w:div w:id="1314259400">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270"/>
                                  <w:marBottom w:val="0"/>
                                  <w:divBdr>
                                    <w:top w:val="none" w:sz="0" w:space="0" w:color="auto"/>
                                    <w:left w:val="none" w:sz="0" w:space="0" w:color="auto"/>
                                    <w:bottom w:val="none" w:sz="0" w:space="0" w:color="auto"/>
                                    <w:right w:val="none" w:sz="0" w:space="0" w:color="auto"/>
                                  </w:divBdr>
                                  <w:divsChild>
                                    <w:div w:id="96607191">
                                      <w:marLeft w:val="0"/>
                                      <w:marRight w:val="0"/>
                                      <w:marTop w:val="0"/>
                                      <w:marBottom w:val="0"/>
                                      <w:divBdr>
                                        <w:top w:val="none" w:sz="0" w:space="0" w:color="auto"/>
                                        <w:left w:val="none" w:sz="0" w:space="0" w:color="auto"/>
                                        <w:bottom w:val="none" w:sz="0" w:space="0" w:color="auto"/>
                                        <w:right w:val="none" w:sz="0" w:space="0" w:color="auto"/>
                                      </w:divBdr>
                                      <w:divsChild>
                                        <w:div w:id="882519620">
                                          <w:marLeft w:val="0"/>
                                          <w:marRight w:val="0"/>
                                          <w:marTop w:val="0"/>
                                          <w:marBottom w:val="0"/>
                                          <w:divBdr>
                                            <w:top w:val="none" w:sz="0" w:space="0" w:color="auto"/>
                                            <w:left w:val="none" w:sz="0" w:space="0" w:color="auto"/>
                                            <w:bottom w:val="none" w:sz="0" w:space="0" w:color="auto"/>
                                            <w:right w:val="none" w:sz="0" w:space="0" w:color="auto"/>
                                          </w:divBdr>
                                        </w:div>
                                        <w:div w:id="19359465">
                                          <w:marLeft w:val="0"/>
                                          <w:marRight w:val="0"/>
                                          <w:marTop w:val="0"/>
                                          <w:marBottom w:val="0"/>
                                          <w:divBdr>
                                            <w:top w:val="none" w:sz="0" w:space="0" w:color="auto"/>
                                            <w:left w:val="none" w:sz="0" w:space="0" w:color="auto"/>
                                            <w:bottom w:val="none" w:sz="0" w:space="0" w:color="auto"/>
                                            <w:right w:val="none" w:sz="0" w:space="0" w:color="auto"/>
                                          </w:divBdr>
                                        </w:div>
                                        <w:div w:id="745615119">
                                          <w:marLeft w:val="0"/>
                                          <w:marRight w:val="0"/>
                                          <w:marTop w:val="0"/>
                                          <w:marBottom w:val="0"/>
                                          <w:divBdr>
                                            <w:top w:val="none" w:sz="0" w:space="0" w:color="auto"/>
                                            <w:left w:val="none" w:sz="0" w:space="0" w:color="auto"/>
                                            <w:bottom w:val="none" w:sz="0" w:space="0" w:color="auto"/>
                                            <w:right w:val="none" w:sz="0" w:space="0" w:color="auto"/>
                                          </w:divBdr>
                                        </w:div>
                                        <w:div w:id="160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Sandferd</dc:creator>
  <cp:keywords/>
  <dc:description/>
  <cp:lastModifiedBy>Carie Sandferd</cp:lastModifiedBy>
  <cp:revision>3</cp:revision>
  <dcterms:created xsi:type="dcterms:W3CDTF">2015-10-30T18:19:00Z</dcterms:created>
  <dcterms:modified xsi:type="dcterms:W3CDTF">2015-10-30T18:22:00Z</dcterms:modified>
</cp:coreProperties>
</file>