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8" w:type="dxa"/>
        <w:tblLook w:val="01E0" w:firstRow="1" w:lastRow="1" w:firstColumn="1" w:lastColumn="1" w:noHBand="0" w:noVBand="0"/>
      </w:tblPr>
      <w:tblGrid>
        <w:gridCol w:w="1998"/>
        <w:gridCol w:w="7470"/>
      </w:tblGrid>
      <w:tr w:rsidR="00614786" w:rsidRPr="002668CA" w14:paraId="50FF90BB" w14:textId="77777777" w:rsidTr="001E00D9">
        <w:trPr>
          <w:trHeight w:val="146"/>
        </w:trPr>
        <w:tc>
          <w:tcPr>
            <w:tcW w:w="9468" w:type="dxa"/>
            <w:gridSpan w:val="2"/>
          </w:tcPr>
          <w:p w14:paraId="1C99BD4A" w14:textId="1BABF6E7" w:rsidR="00614786" w:rsidRPr="0063219F" w:rsidRDefault="00614786" w:rsidP="00614786">
            <w:pPr>
              <w:pStyle w:val="Heading1"/>
            </w:pPr>
            <w:bookmarkStart w:id="0" w:name="_Toc307562171"/>
            <w:bookmarkStart w:id="1" w:name="_GoBack"/>
            <w:bookmarkEnd w:id="1"/>
            <w:r w:rsidRPr="0063219F">
              <w:t>DEFINITIONS</w:t>
            </w:r>
            <w:bookmarkEnd w:id="0"/>
          </w:p>
        </w:tc>
      </w:tr>
      <w:tr w:rsidR="00614786" w:rsidRPr="002668CA" w14:paraId="68182952" w14:textId="77777777" w:rsidTr="001E00D9">
        <w:trPr>
          <w:trHeight w:val="146"/>
        </w:trPr>
        <w:tc>
          <w:tcPr>
            <w:tcW w:w="1998" w:type="dxa"/>
          </w:tcPr>
          <w:p w14:paraId="40073140" w14:textId="3B13FA6E" w:rsidR="00614786" w:rsidRPr="002668CA" w:rsidRDefault="00614786" w:rsidP="00614786">
            <w:pPr>
              <w:spacing w:line="240" w:lineRule="auto"/>
            </w:pPr>
            <w:r w:rsidRPr="002668CA">
              <w:t>Biohazardous</w:t>
            </w:r>
            <w:r>
              <w:t xml:space="preserve"> </w:t>
            </w:r>
            <w:r w:rsidRPr="002668CA">
              <w:t>Material</w:t>
            </w:r>
          </w:p>
        </w:tc>
        <w:tc>
          <w:tcPr>
            <w:tcW w:w="7470" w:type="dxa"/>
          </w:tcPr>
          <w:p w14:paraId="6EF92BF4" w14:textId="77777777" w:rsidR="00614786" w:rsidRPr="002668CA" w:rsidRDefault="00614786" w:rsidP="00614786">
            <w:pPr>
              <w:spacing w:line="240" w:lineRule="auto"/>
            </w:pPr>
            <w:r w:rsidRPr="002668CA">
              <w:t xml:space="preserve">As per WCB OHS Regulation 6.33, biohazardous material a pathogenic organism, including a </w:t>
            </w:r>
            <w:proofErr w:type="spellStart"/>
            <w:r w:rsidRPr="002668CA">
              <w:t>bloodborne</w:t>
            </w:r>
            <w:proofErr w:type="spellEnd"/>
            <w:r w:rsidRPr="002668CA">
              <w:t xml:space="preserve"> pathogen, which due to its known or reasonably believed ability to cause disease in humans, would be classified as Risk Group 2, 3 or 4 as defined by the Medical Research Council of Canada, or any material contaminated with such an organism.</w:t>
            </w:r>
          </w:p>
        </w:tc>
      </w:tr>
      <w:tr w:rsidR="00614786" w:rsidRPr="002668CA" w14:paraId="62AAE355" w14:textId="77777777" w:rsidTr="001E00D9">
        <w:trPr>
          <w:trHeight w:val="146"/>
        </w:trPr>
        <w:tc>
          <w:tcPr>
            <w:tcW w:w="1998" w:type="dxa"/>
          </w:tcPr>
          <w:p w14:paraId="3DAA2BF1" w14:textId="77777777" w:rsidR="00614786" w:rsidRPr="002668CA" w:rsidRDefault="00614786" w:rsidP="00614786">
            <w:pPr>
              <w:spacing w:line="240" w:lineRule="auto"/>
            </w:pPr>
          </w:p>
        </w:tc>
        <w:tc>
          <w:tcPr>
            <w:tcW w:w="7470" w:type="dxa"/>
          </w:tcPr>
          <w:p w14:paraId="44649B69" w14:textId="77777777" w:rsidR="00614786" w:rsidRPr="002668CA" w:rsidRDefault="00614786" w:rsidP="00614786">
            <w:pPr>
              <w:spacing w:line="240" w:lineRule="auto"/>
            </w:pPr>
            <w:r w:rsidRPr="002668CA">
              <w:t xml:space="preserve">For the purpose of this guideline, blood and certain body fluids, blood and body fluids capable of transmitting </w:t>
            </w:r>
            <w:proofErr w:type="spellStart"/>
            <w:r w:rsidRPr="002668CA">
              <w:t>bloodborne</w:t>
            </w:r>
            <w:proofErr w:type="spellEnd"/>
            <w:r w:rsidRPr="002668CA">
              <w:t xml:space="preserve"> pathogens, and biomedical waste are considered biohazardous materials.</w:t>
            </w:r>
          </w:p>
        </w:tc>
      </w:tr>
      <w:tr w:rsidR="00614786" w:rsidRPr="002668CA" w14:paraId="5BB3A175" w14:textId="77777777" w:rsidTr="001E00D9">
        <w:trPr>
          <w:trHeight w:val="146"/>
        </w:trPr>
        <w:tc>
          <w:tcPr>
            <w:tcW w:w="1998" w:type="dxa"/>
          </w:tcPr>
          <w:p w14:paraId="1BA82251" w14:textId="77777777" w:rsidR="00614786" w:rsidRPr="002668CA" w:rsidRDefault="00614786" w:rsidP="00614786">
            <w:pPr>
              <w:spacing w:line="240" w:lineRule="auto"/>
            </w:pPr>
            <w:r w:rsidRPr="002668CA">
              <w:t>“Blood and certain body fluids”</w:t>
            </w:r>
          </w:p>
        </w:tc>
        <w:tc>
          <w:tcPr>
            <w:tcW w:w="7470" w:type="dxa"/>
          </w:tcPr>
          <w:p w14:paraId="1C39425D" w14:textId="77777777" w:rsidR="00614786" w:rsidRPr="002668CA" w:rsidRDefault="00614786" w:rsidP="00614786">
            <w:pPr>
              <w:spacing w:line="240" w:lineRule="auto"/>
            </w:pPr>
            <w:r w:rsidRPr="002668CA">
              <w:t xml:space="preserve">“Blood and certain body fluids” can be infected with tiny organisms that can cause disease in humans.  </w:t>
            </w:r>
          </w:p>
        </w:tc>
      </w:tr>
      <w:tr w:rsidR="00614786" w:rsidRPr="002668CA" w14:paraId="6E763143" w14:textId="77777777" w:rsidTr="001E00D9">
        <w:trPr>
          <w:trHeight w:val="146"/>
        </w:trPr>
        <w:tc>
          <w:tcPr>
            <w:tcW w:w="1998" w:type="dxa"/>
          </w:tcPr>
          <w:p w14:paraId="1545DDC6" w14:textId="77777777" w:rsidR="00614786" w:rsidRPr="002668CA" w:rsidRDefault="00614786" w:rsidP="00614786">
            <w:pPr>
              <w:spacing w:line="240" w:lineRule="auto"/>
            </w:pPr>
          </w:p>
        </w:tc>
        <w:tc>
          <w:tcPr>
            <w:tcW w:w="7470" w:type="dxa"/>
          </w:tcPr>
          <w:p w14:paraId="3459A75C" w14:textId="77777777" w:rsidR="00614786" w:rsidRPr="002668CA" w:rsidRDefault="00614786" w:rsidP="00614786">
            <w:pPr>
              <w:spacing w:line="240" w:lineRule="auto"/>
            </w:pPr>
            <w:r w:rsidRPr="002668CA">
              <w:t>For the purpose of this guideline:</w:t>
            </w:r>
          </w:p>
        </w:tc>
      </w:tr>
      <w:tr w:rsidR="00614786" w:rsidRPr="002668CA" w14:paraId="147FBC50" w14:textId="77777777" w:rsidTr="001E00D9">
        <w:trPr>
          <w:trHeight w:val="146"/>
        </w:trPr>
        <w:tc>
          <w:tcPr>
            <w:tcW w:w="1998" w:type="dxa"/>
          </w:tcPr>
          <w:p w14:paraId="474CC410" w14:textId="77777777" w:rsidR="00614786" w:rsidRPr="002668CA" w:rsidRDefault="00614786" w:rsidP="00614786">
            <w:pPr>
              <w:spacing w:line="240" w:lineRule="auto"/>
            </w:pPr>
            <w:r w:rsidRPr="002668CA">
              <w:t>or</w:t>
            </w:r>
          </w:p>
        </w:tc>
        <w:tc>
          <w:tcPr>
            <w:tcW w:w="7470" w:type="dxa"/>
          </w:tcPr>
          <w:p w14:paraId="670A62DE" w14:textId="7530286C" w:rsidR="00614786" w:rsidRPr="002668CA" w:rsidRDefault="00614786" w:rsidP="00614786">
            <w:pPr>
              <w:pStyle w:val="ListParagraph"/>
              <w:numPr>
                <w:ilvl w:val="0"/>
                <w:numId w:val="7"/>
              </w:numPr>
              <w:spacing w:line="240" w:lineRule="auto"/>
            </w:pPr>
            <w:proofErr w:type="gramStart"/>
            <w:r w:rsidRPr="002668CA">
              <w:t>blood</w:t>
            </w:r>
            <w:proofErr w:type="gramEnd"/>
            <w:r w:rsidRPr="002668CA">
              <w:t xml:space="preserve"> refers to “human” blood.</w:t>
            </w:r>
          </w:p>
        </w:tc>
      </w:tr>
      <w:tr w:rsidR="00614786" w:rsidRPr="002668CA" w14:paraId="29F855BD" w14:textId="77777777" w:rsidTr="001E00D9">
        <w:trPr>
          <w:trHeight w:val="146"/>
        </w:trPr>
        <w:tc>
          <w:tcPr>
            <w:tcW w:w="1998" w:type="dxa"/>
          </w:tcPr>
          <w:p w14:paraId="17FF1F92" w14:textId="09D8566D" w:rsidR="00614786" w:rsidRPr="002668CA" w:rsidRDefault="00614786" w:rsidP="00614786">
            <w:pPr>
              <w:spacing w:line="240" w:lineRule="auto"/>
            </w:pPr>
            <w:r w:rsidRPr="002668CA">
              <w:t>“Infected blood and body fluids” or</w:t>
            </w:r>
            <w:r>
              <w:t xml:space="preserve"> </w:t>
            </w:r>
            <w:r w:rsidRPr="002668CA">
              <w:t xml:space="preserve">“body fluids capable of transmitting </w:t>
            </w:r>
            <w:proofErr w:type="spellStart"/>
            <w:r w:rsidRPr="002668CA">
              <w:t>bloodborne</w:t>
            </w:r>
            <w:proofErr w:type="spellEnd"/>
            <w:r w:rsidRPr="002668CA">
              <w:t xml:space="preserve"> pathogens”</w:t>
            </w:r>
          </w:p>
          <w:p w14:paraId="316AE0F5" w14:textId="77777777" w:rsidR="00614786" w:rsidRPr="002668CA" w:rsidRDefault="00614786" w:rsidP="00614786">
            <w:pPr>
              <w:spacing w:line="240" w:lineRule="auto"/>
            </w:pPr>
          </w:p>
        </w:tc>
        <w:tc>
          <w:tcPr>
            <w:tcW w:w="7470" w:type="dxa"/>
          </w:tcPr>
          <w:p w14:paraId="41433BED" w14:textId="77777777" w:rsidR="00614786" w:rsidRDefault="00614786" w:rsidP="00301A48">
            <w:pPr>
              <w:spacing w:line="240" w:lineRule="auto"/>
            </w:pPr>
            <w:r w:rsidRPr="002668CA">
              <w:t xml:space="preserve">“Certain body fluids”, “infected blood and body fluids”, or “body fluids capable of transmitting </w:t>
            </w:r>
            <w:proofErr w:type="spellStart"/>
            <w:r w:rsidRPr="002668CA">
              <w:t>bloodborne</w:t>
            </w:r>
            <w:proofErr w:type="spellEnd"/>
            <w:r w:rsidRPr="002668CA">
              <w:t xml:space="preserve"> pathogens” refers to the following body fluids capable of transmitting HIV, or hepatitis B or C (</w:t>
            </w:r>
            <w:proofErr w:type="spellStart"/>
            <w:r w:rsidRPr="002668CA">
              <w:t>bloodborne</w:t>
            </w:r>
            <w:proofErr w:type="spellEnd"/>
            <w:r w:rsidRPr="002668CA">
              <w:t xml:space="preserve"> pathogens) from an infected individual:</w:t>
            </w:r>
          </w:p>
          <w:p w14:paraId="645C9BE5" w14:textId="77777777" w:rsidR="00614786" w:rsidRDefault="00614786" w:rsidP="00301A48">
            <w:pPr>
              <w:pStyle w:val="ListParagraph"/>
              <w:numPr>
                <w:ilvl w:val="0"/>
                <w:numId w:val="7"/>
              </w:numPr>
              <w:spacing w:line="240" w:lineRule="auto"/>
            </w:pPr>
            <w:r w:rsidRPr="002668CA">
              <w:t>Blood, serum, plasma, and all biologic fluids visibly contaminated with blood</w:t>
            </w:r>
          </w:p>
          <w:p w14:paraId="16E45498" w14:textId="77777777" w:rsidR="00614786" w:rsidRDefault="00614786" w:rsidP="00301A48">
            <w:pPr>
              <w:pStyle w:val="ListParagraph"/>
              <w:numPr>
                <w:ilvl w:val="0"/>
                <w:numId w:val="7"/>
              </w:numPr>
              <w:spacing w:line="240" w:lineRule="auto"/>
            </w:pPr>
            <w:r w:rsidRPr="002668CA">
              <w:t>Uterine/vaginal secretions or semen (unlikely to transmit HCV)</w:t>
            </w:r>
          </w:p>
          <w:p w14:paraId="71AD4D21" w14:textId="62654EDF" w:rsidR="00614786" w:rsidRDefault="00614786" w:rsidP="00301A48">
            <w:pPr>
              <w:pStyle w:val="ListParagraph"/>
              <w:numPr>
                <w:ilvl w:val="0"/>
                <w:numId w:val="7"/>
              </w:numPr>
              <w:spacing w:line="240" w:lineRule="auto"/>
            </w:pPr>
            <w:r w:rsidRPr="002668CA">
              <w:t>Fluid that the fetus</w:t>
            </w:r>
            <w:r w:rsidR="008E5FFE">
              <w:t xml:space="preserve"> </w:t>
            </w:r>
            <w:r w:rsidRPr="002668CA">
              <w:t>(unborn baby) lives in (amniotic fluid)</w:t>
            </w:r>
          </w:p>
          <w:p w14:paraId="64E4CD53" w14:textId="77777777" w:rsidR="00614786" w:rsidRDefault="00614786" w:rsidP="00301A48">
            <w:pPr>
              <w:pStyle w:val="ListParagraph"/>
              <w:numPr>
                <w:ilvl w:val="0"/>
                <w:numId w:val="7"/>
              </w:numPr>
              <w:spacing w:line="240" w:lineRule="auto"/>
            </w:pPr>
            <w:r w:rsidRPr="002668CA">
              <w:t>Fluid around the heart (pericardial fluid)</w:t>
            </w:r>
          </w:p>
          <w:p w14:paraId="3F43054D" w14:textId="77777777" w:rsidR="00614786" w:rsidRDefault="00614786" w:rsidP="00301A48">
            <w:pPr>
              <w:pStyle w:val="ListParagraph"/>
              <w:numPr>
                <w:ilvl w:val="0"/>
                <w:numId w:val="7"/>
              </w:numPr>
              <w:spacing w:line="240" w:lineRule="auto"/>
            </w:pPr>
            <w:r w:rsidRPr="002668CA">
              <w:t>Fluid in the lining of the lungs (pleural fluid)</w:t>
            </w:r>
          </w:p>
          <w:p w14:paraId="41481119" w14:textId="77777777" w:rsidR="00614786" w:rsidRDefault="00614786" w:rsidP="00301A48">
            <w:pPr>
              <w:pStyle w:val="ListParagraph"/>
              <w:numPr>
                <w:ilvl w:val="0"/>
                <w:numId w:val="7"/>
              </w:numPr>
              <w:spacing w:line="240" w:lineRule="auto"/>
            </w:pPr>
            <w:r w:rsidRPr="002668CA">
              <w:t>Fluid in the abdomen (Peritoneal fluid)</w:t>
            </w:r>
          </w:p>
          <w:p w14:paraId="0BEB1CEE" w14:textId="77777777" w:rsidR="00614786" w:rsidRDefault="00614786" w:rsidP="00301A48">
            <w:pPr>
              <w:pStyle w:val="ListParagraph"/>
              <w:numPr>
                <w:ilvl w:val="0"/>
                <w:numId w:val="7"/>
              </w:numPr>
              <w:spacing w:line="240" w:lineRule="auto"/>
            </w:pPr>
            <w:r w:rsidRPr="002668CA">
              <w:t>Fluid in joints (synovial fluid)</w:t>
            </w:r>
          </w:p>
          <w:p w14:paraId="10D3D106" w14:textId="77777777" w:rsidR="00614786" w:rsidRDefault="00614786" w:rsidP="00301A48">
            <w:pPr>
              <w:pStyle w:val="ListParagraph"/>
              <w:numPr>
                <w:ilvl w:val="0"/>
                <w:numId w:val="7"/>
              </w:numPr>
              <w:spacing w:line="240" w:lineRule="auto"/>
            </w:pPr>
            <w:r w:rsidRPr="002668CA">
              <w:t>Fluid surrounding the brain and spinal cord (cerebrospinal fluid)</w:t>
            </w:r>
          </w:p>
          <w:p w14:paraId="2788FF79" w14:textId="77777777" w:rsidR="00614786" w:rsidRDefault="00614786" w:rsidP="00301A48">
            <w:pPr>
              <w:pStyle w:val="ListParagraph"/>
              <w:numPr>
                <w:ilvl w:val="0"/>
                <w:numId w:val="7"/>
              </w:numPr>
              <w:spacing w:line="240" w:lineRule="auto"/>
            </w:pPr>
            <w:r w:rsidRPr="002668CA">
              <w:t>Breast milk – has been shown to transmit only HIV</w:t>
            </w:r>
          </w:p>
          <w:p w14:paraId="6C44E454" w14:textId="4B80AC2D" w:rsidR="00614786" w:rsidRPr="002668CA" w:rsidRDefault="00614786" w:rsidP="00301A48">
            <w:pPr>
              <w:pStyle w:val="ListParagraph"/>
              <w:numPr>
                <w:ilvl w:val="0"/>
                <w:numId w:val="7"/>
              </w:numPr>
              <w:spacing w:line="240" w:lineRule="auto"/>
            </w:pPr>
            <w:r>
              <w:t xml:space="preserve">Saliva for HBV only, unless </w:t>
            </w:r>
            <w:r w:rsidRPr="002668CA">
              <w:t>contaminated with blood</w:t>
            </w:r>
          </w:p>
        </w:tc>
      </w:tr>
    </w:tbl>
    <w:p w14:paraId="428D5D6B" w14:textId="77777777" w:rsidR="00614786" w:rsidRPr="002668CA" w:rsidRDefault="00614786" w:rsidP="00614786">
      <w:pPr>
        <w:spacing w:line="240" w:lineRule="auto"/>
        <w:sectPr w:rsidR="00614786" w:rsidRPr="002668CA" w:rsidSect="003674DC">
          <w:headerReference w:type="even" r:id="rId8"/>
          <w:headerReference w:type="default" r:id="rId9"/>
          <w:footerReference w:type="default" r:id="rId10"/>
          <w:headerReference w:type="first" r:id="rId11"/>
          <w:pgSz w:w="12240" w:h="15840" w:code="1"/>
          <w:pgMar w:top="475" w:right="1584" w:bottom="288" w:left="1584" w:header="720" w:footer="0" w:gutter="0"/>
          <w:cols w:space="720"/>
        </w:sectPr>
      </w:pPr>
    </w:p>
    <w:tbl>
      <w:tblPr>
        <w:tblW w:w="9468" w:type="dxa"/>
        <w:tblLook w:val="01E0" w:firstRow="1" w:lastRow="1" w:firstColumn="1" w:lastColumn="1" w:noHBand="0" w:noVBand="0"/>
      </w:tblPr>
      <w:tblGrid>
        <w:gridCol w:w="1998"/>
        <w:gridCol w:w="7470"/>
      </w:tblGrid>
      <w:tr w:rsidR="00614786" w:rsidRPr="002668CA" w14:paraId="1BC19D5F" w14:textId="77777777" w:rsidTr="001E00D9">
        <w:trPr>
          <w:trHeight w:val="146"/>
        </w:trPr>
        <w:tc>
          <w:tcPr>
            <w:tcW w:w="1998" w:type="dxa"/>
          </w:tcPr>
          <w:p w14:paraId="32FDF741" w14:textId="77777777" w:rsidR="00614786" w:rsidRPr="002668CA" w:rsidRDefault="00614786" w:rsidP="00614786">
            <w:pPr>
              <w:spacing w:line="240" w:lineRule="auto"/>
            </w:pPr>
            <w:r w:rsidRPr="002668CA">
              <w:lastRenderedPageBreak/>
              <w:t>“Blood and certain body fluids”</w:t>
            </w:r>
          </w:p>
        </w:tc>
        <w:tc>
          <w:tcPr>
            <w:tcW w:w="7470" w:type="dxa"/>
          </w:tcPr>
          <w:p w14:paraId="5403402B" w14:textId="77777777" w:rsidR="00614786" w:rsidRPr="002668CA" w:rsidRDefault="00614786" w:rsidP="00614786">
            <w:pPr>
              <w:spacing w:line="240" w:lineRule="auto"/>
            </w:pPr>
            <w:r w:rsidRPr="002668CA">
              <w:t xml:space="preserve">Body fluids that are not implicated in the transmission of HIV, and hepatitis B and C </w:t>
            </w:r>
            <w:r w:rsidRPr="002668CA">
              <w:rPr>
                <w:b/>
              </w:rPr>
              <w:t>unless visibly contaminated with blood</w:t>
            </w:r>
            <w:r w:rsidRPr="002668CA">
              <w:t xml:space="preserve"> are:</w:t>
            </w:r>
          </w:p>
        </w:tc>
      </w:tr>
      <w:tr w:rsidR="00614786" w:rsidRPr="002668CA" w14:paraId="07B6EBB0" w14:textId="77777777" w:rsidTr="001E00D9">
        <w:trPr>
          <w:trHeight w:val="146"/>
        </w:trPr>
        <w:tc>
          <w:tcPr>
            <w:tcW w:w="1998" w:type="dxa"/>
          </w:tcPr>
          <w:p w14:paraId="125CB53A" w14:textId="5AA809D4" w:rsidR="00614786" w:rsidRPr="002668CA" w:rsidRDefault="00614786" w:rsidP="00614786">
            <w:pPr>
              <w:spacing w:line="240" w:lineRule="auto"/>
            </w:pPr>
          </w:p>
        </w:tc>
        <w:tc>
          <w:tcPr>
            <w:tcW w:w="7470" w:type="dxa"/>
          </w:tcPr>
          <w:p w14:paraId="09A12FE4" w14:textId="77777777" w:rsidR="00614786" w:rsidRPr="002668CA" w:rsidRDefault="00614786" w:rsidP="00614786">
            <w:pPr>
              <w:numPr>
                <w:ilvl w:val="0"/>
                <w:numId w:val="3"/>
              </w:numPr>
              <w:tabs>
                <w:tab w:val="left" w:pos="0"/>
              </w:tabs>
              <w:spacing w:after="0" w:line="240" w:lineRule="auto"/>
              <w:jc w:val="both"/>
            </w:pPr>
            <w:r w:rsidRPr="002668CA">
              <w:t>Tears</w:t>
            </w:r>
          </w:p>
        </w:tc>
      </w:tr>
      <w:tr w:rsidR="00614786" w:rsidRPr="002668CA" w14:paraId="7D3362EA" w14:textId="77777777" w:rsidTr="001E00D9">
        <w:trPr>
          <w:trHeight w:val="146"/>
        </w:trPr>
        <w:tc>
          <w:tcPr>
            <w:tcW w:w="1998" w:type="dxa"/>
          </w:tcPr>
          <w:p w14:paraId="0F7C78B6" w14:textId="77777777" w:rsidR="00614786" w:rsidRPr="002668CA" w:rsidRDefault="00614786" w:rsidP="00614786">
            <w:pPr>
              <w:spacing w:line="240" w:lineRule="auto"/>
            </w:pPr>
          </w:p>
        </w:tc>
        <w:tc>
          <w:tcPr>
            <w:tcW w:w="7470" w:type="dxa"/>
          </w:tcPr>
          <w:p w14:paraId="352F9351" w14:textId="77777777" w:rsidR="00614786" w:rsidRPr="002668CA" w:rsidRDefault="00614786" w:rsidP="00614786">
            <w:pPr>
              <w:numPr>
                <w:ilvl w:val="0"/>
                <w:numId w:val="3"/>
              </w:numPr>
              <w:tabs>
                <w:tab w:val="left" w:pos="0"/>
              </w:tabs>
              <w:spacing w:after="0" w:line="240" w:lineRule="auto"/>
              <w:jc w:val="both"/>
            </w:pPr>
            <w:r w:rsidRPr="002668CA">
              <w:t>Nasal secretions</w:t>
            </w:r>
          </w:p>
        </w:tc>
      </w:tr>
      <w:tr w:rsidR="00614786" w:rsidRPr="002668CA" w14:paraId="23BA63E4" w14:textId="77777777" w:rsidTr="001E00D9">
        <w:trPr>
          <w:trHeight w:val="379"/>
        </w:trPr>
        <w:tc>
          <w:tcPr>
            <w:tcW w:w="1998" w:type="dxa"/>
          </w:tcPr>
          <w:p w14:paraId="17D161B9" w14:textId="6D03811F" w:rsidR="00614786" w:rsidRPr="002668CA" w:rsidRDefault="00614786" w:rsidP="00614786">
            <w:pPr>
              <w:spacing w:line="240" w:lineRule="auto"/>
            </w:pPr>
          </w:p>
        </w:tc>
        <w:tc>
          <w:tcPr>
            <w:tcW w:w="7470" w:type="dxa"/>
          </w:tcPr>
          <w:p w14:paraId="569EC362" w14:textId="77777777" w:rsidR="00614786" w:rsidRPr="002668CA" w:rsidRDefault="00614786" w:rsidP="00614786">
            <w:pPr>
              <w:numPr>
                <w:ilvl w:val="0"/>
                <w:numId w:val="3"/>
              </w:numPr>
              <w:tabs>
                <w:tab w:val="left" w:pos="0"/>
              </w:tabs>
              <w:spacing w:after="0" w:line="240" w:lineRule="auto"/>
              <w:jc w:val="both"/>
            </w:pPr>
            <w:r w:rsidRPr="002668CA">
              <w:t>Sputum (coughed up from the lungs)</w:t>
            </w:r>
          </w:p>
        </w:tc>
      </w:tr>
      <w:tr w:rsidR="00614786" w:rsidRPr="002668CA" w14:paraId="0502CF23" w14:textId="77777777" w:rsidTr="001E00D9">
        <w:trPr>
          <w:trHeight w:val="146"/>
        </w:trPr>
        <w:tc>
          <w:tcPr>
            <w:tcW w:w="1998" w:type="dxa"/>
          </w:tcPr>
          <w:p w14:paraId="4096DAC6" w14:textId="3A7D6A56" w:rsidR="00614786" w:rsidRPr="002668CA" w:rsidRDefault="003674DC" w:rsidP="00614786">
            <w:pPr>
              <w:spacing w:line="240" w:lineRule="auto"/>
            </w:pPr>
            <w:r w:rsidRPr="002668CA">
              <w:t>“Infected blood and body fluids”</w:t>
            </w:r>
          </w:p>
        </w:tc>
        <w:tc>
          <w:tcPr>
            <w:tcW w:w="7470" w:type="dxa"/>
          </w:tcPr>
          <w:p w14:paraId="7653B990" w14:textId="77777777" w:rsidR="00614786" w:rsidRPr="002668CA" w:rsidRDefault="00614786" w:rsidP="00614786">
            <w:pPr>
              <w:numPr>
                <w:ilvl w:val="0"/>
                <w:numId w:val="3"/>
              </w:numPr>
              <w:tabs>
                <w:tab w:val="left" w:pos="0"/>
              </w:tabs>
              <w:spacing w:after="0" w:line="240" w:lineRule="auto"/>
              <w:jc w:val="both"/>
            </w:pPr>
            <w:r w:rsidRPr="002668CA">
              <w:t>Vomitus</w:t>
            </w:r>
          </w:p>
        </w:tc>
      </w:tr>
      <w:tr w:rsidR="00614786" w:rsidRPr="002668CA" w14:paraId="385E9E2B" w14:textId="77777777" w:rsidTr="001E00D9">
        <w:trPr>
          <w:trHeight w:val="146"/>
        </w:trPr>
        <w:tc>
          <w:tcPr>
            <w:tcW w:w="1998" w:type="dxa"/>
          </w:tcPr>
          <w:p w14:paraId="57D13513" w14:textId="77777777" w:rsidR="00614786" w:rsidRPr="002668CA" w:rsidRDefault="00614786" w:rsidP="00614786">
            <w:pPr>
              <w:spacing w:line="240" w:lineRule="auto"/>
            </w:pPr>
          </w:p>
        </w:tc>
        <w:tc>
          <w:tcPr>
            <w:tcW w:w="7470" w:type="dxa"/>
          </w:tcPr>
          <w:p w14:paraId="0FEDFF0F" w14:textId="77777777" w:rsidR="00614786" w:rsidRPr="002668CA" w:rsidRDefault="00614786" w:rsidP="00614786">
            <w:pPr>
              <w:numPr>
                <w:ilvl w:val="0"/>
                <w:numId w:val="3"/>
              </w:numPr>
              <w:tabs>
                <w:tab w:val="left" w:pos="0"/>
              </w:tabs>
              <w:spacing w:after="0" w:line="240" w:lineRule="auto"/>
              <w:jc w:val="both"/>
            </w:pPr>
            <w:r w:rsidRPr="002668CA">
              <w:t>Urine</w:t>
            </w:r>
          </w:p>
        </w:tc>
      </w:tr>
      <w:tr w:rsidR="00614786" w:rsidRPr="002668CA" w14:paraId="6E48C788" w14:textId="77777777" w:rsidTr="001E00D9">
        <w:trPr>
          <w:trHeight w:val="146"/>
        </w:trPr>
        <w:tc>
          <w:tcPr>
            <w:tcW w:w="1998" w:type="dxa"/>
          </w:tcPr>
          <w:p w14:paraId="20E6A88C" w14:textId="7B8DF54F" w:rsidR="00614786" w:rsidRPr="002668CA" w:rsidRDefault="00614786" w:rsidP="00614786">
            <w:pPr>
              <w:spacing w:line="240" w:lineRule="auto"/>
            </w:pPr>
          </w:p>
        </w:tc>
        <w:tc>
          <w:tcPr>
            <w:tcW w:w="7470" w:type="dxa"/>
          </w:tcPr>
          <w:p w14:paraId="4BDCBCEE" w14:textId="77777777" w:rsidR="00614786" w:rsidRPr="002668CA" w:rsidRDefault="00614786" w:rsidP="00614786">
            <w:pPr>
              <w:numPr>
                <w:ilvl w:val="0"/>
                <w:numId w:val="3"/>
              </w:numPr>
              <w:tabs>
                <w:tab w:val="left" w:pos="0"/>
              </w:tabs>
              <w:spacing w:after="0" w:line="240" w:lineRule="auto"/>
              <w:jc w:val="both"/>
            </w:pPr>
            <w:r w:rsidRPr="002668CA">
              <w:t>Sweat</w:t>
            </w:r>
          </w:p>
        </w:tc>
      </w:tr>
      <w:tr w:rsidR="00614786" w:rsidRPr="002668CA" w14:paraId="29EEAD54" w14:textId="77777777" w:rsidTr="001E00D9">
        <w:trPr>
          <w:trHeight w:val="146"/>
        </w:trPr>
        <w:tc>
          <w:tcPr>
            <w:tcW w:w="1998" w:type="dxa"/>
          </w:tcPr>
          <w:p w14:paraId="791B9AC6" w14:textId="77777777" w:rsidR="00614786" w:rsidRPr="002668CA" w:rsidRDefault="00614786" w:rsidP="00614786">
            <w:pPr>
              <w:spacing w:line="240" w:lineRule="auto"/>
            </w:pPr>
          </w:p>
        </w:tc>
        <w:tc>
          <w:tcPr>
            <w:tcW w:w="7470" w:type="dxa"/>
          </w:tcPr>
          <w:p w14:paraId="330D8D33" w14:textId="77777777" w:rsidR="00614786" w:rsidRPr="002668CA" w:rsidRDefault="00614786" w:rsidP="00614786">
            <w:pPr>
              <w:numPr>
                <w:ilvl w:val="0"/>
                <w:numId w:val="3"/>
              </w:numPr>
              <w:tabs>
                <w:tab w:val="left" w:pos="0"/>
              </w:tabs>
              <w:spacing w:after="0" w:line="240" w:lineRule="auto"/>
              <w:jc w:val="both"/>
            </w:pPr>
            <w:r w:rsidRPr="002668CA">
              <w:t>Feces (stools)</w:t>
            </w:r>
          </w:p>
        </w:tc>
      </w:tr>
      <w:tr w:rsidR="00614786" w:rsidRPr="002668CA" w14:paraId="77A04543" w14:textId="77777777" w:rsidTr="001E00D9">
        <w:trPr>
          <w:trHeight w:val="146"/>
        </w:trPr>
        <w:tc>
          <w:tcPr>
            <w:tcW w:w="1998" w:type="dxa"/>
          </w:tcPr>
          <w:p w14:paraId="447C3426" w14:textId="42C6E205" w:rsidR="00614786" w:rsidRPr="002668CA" w:rsidRDefault="00614786" w:rsidP="00614786">
            <w:pPr>
              <w:spacing w:line="240" w:lineRule="auto"/>
            </w:pPr>
            <w:r w:rsidRPr="002668CA">
              <w:t>“body fluids</w:t>
            </w:r>
            <w:r w:rsidR="003674DC">
              <w:t xml:space="preserve"> </w:t>
            </w:r>
            <w:r w:rsidR="003674DC" w:rsidRPr="002668CA">
              <w:t>capable of</w:t>
            </w:r>
            <w:r w:rsidR="003674DC">
              <w:t xml:space="preserve"> </w:t>
            </w:r>
            <w:r w:rsidR="003674DC" w:rsidRPr="002668CA">
              <w:t>transmitting</w:t>
            </w:r>
            <w:r w:rsidR="003674DC">
              <w:t xml:space="preserve"> </w:t>
            </w:r>
            <w:proofErr w:type="spellStart"/>
            <w:r w:rsidR="003674DC" w:rsidRPr="002668CA">
              <w:t>bloodborne</w:t>
            </w:r>
            <w:proofErr w:type="spellEnd"/>
            <w:r w:rsidR="003674DC">
              <w:t xml:space="preserve"> </w:t>
            </w:r>
            <w:r w:rsidR="003674DC" w:rsidRPr="002668CA">
              <w:t>pathogens”</w:t>
            </w:r>
          </w:p>
        </w:tc>
        <w:tc>
          <w:tcPr>
            <w:tcW w:w="7470" w:type="dxa"/>
          </w:tcPr>
          <w:p w14:paraId="6DA80820" w14:textId="77777777" w:rsidR="003674DC" w:rsidRDefault="003674DC" w:rsidP="003674DC">
            <w:pPr>
              <w:spacing w:line="240" w:lineRule="auto"/>
            </w:pPr>
            <w:r w:rsidRPr="002668CA">
              <w:t>These body fluids may spread other infections – for example</w:t>
            </w:r>
            <w:r>
              <w:t xml:space="preserve"> </w:t>
            </w:r>
          </w:p>
          <w:p w14:paraId="6BE97E54" w14:textId="68FC90E9" w:rsidR="00614786" w:rsidRPr="002668CA" w:rsidRDefault="003674DC" w:rsidP="003674DC">
            <w:pPr>
              <w:spacing w:line="240" w:lineRule="auto"/>
            </w:pPr>
            <w:proofErr w:type="gramStart"/>
            <w:r w:rsidRPr="002668CA">
              <w:t>stools</w:t>
            </w:r>
            <w:proofErr w:type="gramEnd"/>
            <w:r w:rsidRPr="002668CA">
              <w:t xml:space="preserve"> can spread hepatitis A and sputum can spread</w:t>
            </w:r>
            <w:r>
              <w:t xml:space="preserve"> </w:t>
            </w:r>
            <w:r w:rsidRPr="002668CA">
              <w:t>tuberculosis – but they are not of concern in the spread HIV</w:t>
            </w:r>
            <w:r>
              <w:t xml:space="preserve"> </w:t>
            </w:r>
            <w:r w:rsidRPr="002668CA">
              <w:t>and the hepatitis B and C viruses.</w:t>
            </w:r>
          </w:p>
        </w:tc>
      </w:tr>
      <w:tr w:rsidR="00614786" w:rsidRPr="002668CA" w14:paraId="49764ECC" w14:textId="77777777" w:rsidTr="001E00D9">
        <w:trPr>
          <w:trHeight w:val="146"/>
        </w:trPr>
        <w:tc>
          <w:tcPr>
            <w:tcW w:w="1998" w:type="dxa"/>
          </w:tcPr>
          <w:p w14:paraId="60C029F6" w14:textId="77777777" w:rsidR="00614786" w:rsidRPr="002668CA" w:rsidRDefault="00614786" w:rsidP="00614786">
            <w:pPr>
              <w:spacing w:line="240" w:lineRule="auto"/>
            </w:pPr>
            <w:r w:rsidRPr="002668CA">
              <w:t>Biomedical Waste</w:t>
            </w:r>
          </w:p>
        </w:tc>
        <w:tc>
          <w:tcPr>
            <w:tcW w:w="7470" w:type="dxa"/>
          </w:tcPr>
          <w:p w14:paraId="47169C48" w14:textId="77777777" w:rsidR="00614786" w:rsidRPr="002668CA" w:rsidRDefault="00614786" w:rsidP="00614786">
            <w:pPr>
              <w:spacing w:line="240" w:lineRule="auto"/>
            </w:pPr>
            <w:r w:rsidRPr="002668CA">
              <w:t>Biomedical waste includes human blood and blood products, consisting of:</w:t>
            </w:r>
          </w:p>
        </w:tc>
      </w:tr>
      <w:tr w:rsidR="00614786" w:rsidRPr="002668CA" w14:paraId="0B8F05AE" w14:textId="77777777" w:rsidTr="001E00D9">
        <w:trPr>
          <w:trHeight w:val="146"/>
        </w:trPr>
        <w:tc>
          <w:tcPr>
            <w:tcW w:w="1998" w:type="dxa"/>
          </w:tcPr>
          <w:p w14:paraId="316DC0FB" w14:textId="77777777" w:rsidR="00614786" w:rsidRPr="002668CA" w:rsidRDefault="00614786" w:rsidP="00614786">
            <w:pPr>
              <w:spacing w:line="240" w:lineRule="auto"/>
            </w:pPr>
          </w:p>
        </w:tc>
        <w:tc>
          <w:tcPr>
            <w:tcW w:w="7470" w:type="dxa"/>
          </w:tcPr>
          <w:p w14:paraId="5A911993" w14:textId="77777777" w:rsidR="00614786" w:rsidRPr="002668CA" w:rsidRDefault="00614786" w:rsidP="00614786">
            <w:pPr>
              <w:numPr>
                <w:ilvl w:val="0"/>
                <w:numId w:val="4"/>
              </w:numPr>
              <w:tabs>
                <w:tab w:val="clear" w:pos="720"/>
                <w:tab w:val="num" w:pos="342"/>
              </w:tabs>
              <w:spacing w:after="0" w:line="240" w:lineRule="auto"/>
              <w:ind w:hanging="720"/>
              <w:jc w:val="both"/>
            </w:pPr>
            <w:r w:rsidRPr="002668CA">
              <w:t>Human fluid blood and blood products,</w:t>
            </w:r>
          </w:p>
        </w:tc>
      </w:tr>
      <w:tr w:rsidR="00614786" w:rsidRPr="002668CA" w14:paraId="44DB0495" w14:textId="77777777" w:rsidTr="001E00D9">
        <w:trPr>
          <w:trHeight w:val="146"/>
        </w:trPr>
        <w:tc>
          <w:tcPr>
            <w:tcW w:w="1998" w:type="dxa"/>
          </w:tcPr>
          <w:p w14:paraId="08D99F8F" w14:textId="77777777" w:rsidR="00614786" w:rsidRPr="002668CA" w:rsidRDefault="00614786" w:rsidP="00614786">
            <w:pPr>
              <w:spacing w:line="240" w:lineRule="auto"/>
            </w:pPr>
          </w:p>
        </w:tc>
        <w:tc>
          <w:tcPr>
            <w:tcW w:w="7470" w:type="dxa"/>
          </w:tcPr>
          <w:p w14:paraId="1FCADF08" w14:textId="77777777" w:rsidR="00614786" w:rsidRPr="002668CA" w:rsidRDefault="00614786" w:rsidP="00614786">
            <w:pPr>
              <w:numPr>
                <w:ilvl w:val="0"/>
                <w:numId w:val="4"/>
              </w:numPr>
              <w:tabs>
                <w:tab w:val="clear" w:pos="720"/>
                <w:tab w:val="num" w:pos="342"/>
              </w:tabs>
              <w:spacing w:after="0" w:line="240" w:lineRule="auto"/>
              <w:ind w:hanging="720"/>
              <w:jc w:val="both"/>
            </w:pPr>
            <w:r w:rsidRPr="002668CA">
              <w:t>Items saturated or dripping with human blood,</w:t>
            </w:r>
          </w:p>
        </w:tc>
      </w:tr>
      <w:tr w:rsidR="00614786" w:rsidRPr="002668CA" w14:paraId="55C4141E" w14:textId="77777777" w:rsidTr="001E00D9">
        <w:trPr>
          <w:trHeight w:val="146"/>
        </w:trPr>
        <w:tc>
          <w:tcPr>
            <w:tcW w:w="1998" w:type="dxa"/>
          </w:tcPr>
          <w:p w14:paraId="214B9755" w14:textId="77777777" w:rsidR="00614786" w:rsidRPr="002668CA" w:rsidRDefault="00614786" w:rsidP="00614786">
            <w:pPr>
              <w:spacing w:line="240" w:lineRule="auto"/>
            </w:pPr>
          </w:p>
        </w:tc>
        <w:tc>
          <w:tcPr>
            <w:tcW w:w="7470" w:type="dxa"/>
          </w:tcPr>
          <w:p w14:paraId="6BF94B21" w14:textId="77777777" w:rsidR="00614786" w:rsidRPr="002668CA" w:rsidRDefault="00614786" w:rsidP="00614786">
            <w:pPr>
              <w:numPr>
                <w:ilvl w:val="0"/>
                <w:numId w:val="4"/>
              </w:numPr>
              <w:tabs>
                <w:tab w:val="clear" w:pos="720"/>
                <w:tab w:val="num" w:pos="342"/>
              </w:tabs>
              <w:spacing w:after="0" w:line="240" w:lineRule="auto"/>
              <w:ind w:hanging="720"/>
              <w:jc w:val="both"/>
            </w:pPr>
            <w:r w:rsidRPr="002668CA">
              <w:t>Body fluids contaminated with human blood, and</w:t>
            </w:r>
          </w:p>
        </w:tc>
      </w:tr>
      <w:tr w:rsidR="00614786" w:rsidRPr="002668CA" w14:paraId="0F7054C7" w14:textId="77777777" w:rsidTr="001E00D9">
        <w:trPr>
          <w:trHeight w:val="146"/>
        </w:trPr>
        <w:tc>
          <w:tcPr>
            <w:tcW w:w="1998" w:type="dxa"/>
          </w:tcPr>
          <w:p w14:paraId="5E44A8B9" w14:textId="77777777" w:rsidR="00614786" w:rsidRPr="002668CA" w:rsidRDefault="00614786" w:rsidP="00614786">
            <w:pPr>
              <w:spacing w:line="240" w:lineRule="auto"/>
            </w:pPr>
          </w:p>
        </w:tc>
        <w:tc>
          <w:tcPr>
            <w:tcW w:w="7470" w:type="dxa"/>
          </w:tcPr>
          <w:p w14:paraId="0B09BBA5" w14:textId="77777777" w:rsidR="00614786" w:rsidRPr="002668CA" w:rsidRDefault="00614786" w:rsidP="00614786">
            <w:pPr>
              <w:numPr>
                <w:ilvl w:val="0"/>
                <w:numId w:val="4"/>
              </w:numPr>
              <w:tabs>
                <w:tab w:val="clear" w:pos="720"/>
                <w:tab w:val="num" w:pos="342"/>
              </w:tabs>
              <w:spacing w:after="0" w:line="240" w:lineRule="auto"/>
              <w:ind w:left="342"/>
              <w:jc w:val="both"/>
            </w:pPr>
            <w:r w:rsidRPr="002668CA">
              <w:t xml:space="preserve">Waste sharps consisting of needles capable of causing punctures or cuts.  </w:t>
            </w:r>
          </w:p>
        </w:tc>
      </w:tr>
      <w:tr w:rsidR="00614786" w:rsidRPr="002668CA" w14:paraId="4B5BAD02" w14:textId="77777777" w:rsidTr="001E00D9">
        <w:trPr>
          <w:trHeight w:val="146"/>
        </w:trPr>
        <w:tc>
          <w:tcPr>
            <w:tcW w:w="1998" w:type="dxa"/>
          </w:tcPr>
          <w:p w14:paraId="637113BB" w14:textId="77777777" w:rsidR="00614786" w:rsidRPr="002668CA" w:rsidRDefault="00614786" w:rsidP="00614786">
            <w:pPr>
              <w:spacing w:line="240" w:lineRule="auto"/>
            </w:pPr>
          </w:p>
        </w:tc>
        <w:tc>
          <w:tcPr>
            <w:tcW w:w="7470" w:type="dxa"/>
          </w:tcPr>
          <w:p w14:paraId="040EEB0B" w14:textId="77777777" w:rsidR="00614786" w:rsidRPr="002668CA" w:rsidRDefault="00614786" w:rsidP="00614786">
            <w:pPr>
              <w:spacing w:line="240" w:lineRule="auto"/>
            </w:pPr>
          </w:p>
        </w:tc>
      </w:tr>
      <w:tr w:rsidR="00614786" w:rsidRPr="002668CA" w14:paraId="36356EF1" w14:textId="77777777" w:rsidTr="001E00D9">
        <w:trPr>
          <w:trHeight w:val="146"/>
        </w:trPr>
        <w:tc>
          <w:tcPr>
            <w:tcW w:w="1998" w:type="dxa"/>
          </w:tcPr>
          <w:p w14:paraId="1708FF6B" w14:textId="77777777" w:rsidR="00614786" w:rsidRPr="002668CA" w:rsidRDefault="00614786" w:rsidP="00614786">
            <w:pPr>
              <w:spacing w:line="240" w:lineRule="auto"/>
            </w:pPr>
          </w:p>
        </w:tc>
        <w:tc>
          <w:tcPr>
            <w:tcW w:w="7470" w:type="dxa"/>
          </w:tcPr>
          <w:p w14:paraId="4F3B6F9B" w14:textId="77777777" w:rsidR="00614786" w:rsidRPr="002668CA" w:rsidRDefault="00614786" w:rsidP="00614786">
            <w:pPr>
              <w:spacing w:line="240" w:lineRule="auto"/>
              <w:ind w:left="360"/>
            </w:pPr>
            <w:r w:rsidRPr="002668CA">
              <w:t>Biomedical waste is also considered a(n):</w:t>
            </w:r>
          </w:p>
        </w:tc>
      </w:tr>
      <w:tr w:rsidR="00614786" w:rsidRPr="002668CA" w14:paraId="3A050B05" w14:textId="77777777" w:rsidTr="001E00D9">
        <w:trPr>
          <w:trHeight w:val="146"/>
        </w:trPr>
        <w:tc>
          <w:tcPr>
            <w:tcW w:w="1998" w:type="dxa"/>
          </w:tcPr>
          <w:p w14:paraId="17854D19" w14:textId="77777777" w:rsidR="00614786" w:rsidRPr="002668CA" w:rsidRDefault="00614786" w:rsidP="00614786">
            <w:pPr>
              <w:spacing w:line="240" w:lineRule="auto"/>
            </w:pPr>
          </w:p>
        </w:tc>
        <w:tc>
          <w:tcPr>
            <w:tcW w:w="7470" w:type="dxa"/>
          </w:tcPr>
          <w:p w14:paraId="6FEB8974" w14:textId="77777777" w:rsidR="00614786" w:rsidRPr="002668CA" w:rsidRDefault="00614786" w:rsidP="00614786">
            <w:pPr>
              <w:numPr>
                <w:ilvl w:val="0"/>
                <w:numId w:val="5"/>
              </w:numPr>
              <w:tabs>
                <w:tab w:val="clear" w:pos="1080"/>
              </w:tabs>
              <w:spacing w:after="0" w:line="240" w:lineRule="auto"/>
              <w:ind w:left="342"/>
              <w:jc w:val="both"/>
            </w:pPr>
            <w:r w:rsidRPr="002668CA">
              <w:t xml:space="preserve">Dangerous good </w:t>
            </w:r>
          </w:p>
        </w:tc>
      </w:tr>
      <w:tr w:rsidR="00614786" w:rsidRPr="002668CA" w14:paraId="1C23BD91" w14:textId="77777777" w:rsidTr="001E00D9">
        <w:trPr>
          <w:trHeight w:val="146"/>
        </w:trPr>
        <w:tc>
          <w:tcPr>
            <w:tcW w:w="1998" w:type="dxa"/>
          </w:tcPr>
          <w:p w14:paraId="6E849D99" w14:textId="77777777" w:rsidR="00614786" w:rsidRPr="002668CA" w:rsidRDefault="00614786" w:rsidP="00614786">
            <w:pPr>
              <w:spacing w:line="240" w:lineRule="auto"/>
            </w:pPr>
          </w:p>
        </w:tc>
        <w:tc>
          <w:tcPr>
            <w:tcW w:w="7470" w:type="dxa"/>
          </w:tcPr>
          <w:p w14:paraId="709EEE2A" w14:textId="77777777" w:rsidR="00614786" w:rsidRPr="002668CA" w:rsidRDefault="00614786" w:rsidP="00614786">
            <w:pPr>
              <w:numPr>
                <w:ilvl w:val="0"/>
                <w:numId w:val="5"/>
              </w:numPr>
              <w:tabs>
                <w:tab w:val="clear" w:pos="1080"/>
              </w:tabs>
              <w:spacing w:after="0" w:line="240" w:lineRule="auto"/>
              <w:ind w:left="342"/>
              <w:jc w:val="both"/>
            </w:pPr>
            <w:r w:rsidRPr="002668CA">
              <w:t xml:space="preserve">Infectious Substance, Class 6.2 </w:t>
            </w:r>
          </w:p>
        </w:tc>
      </w:tr>
      <w:tr w:rsidR="00614786" w:rsidRPr="002668CA" w14:paraId="110C5241" w14:textId="77777777" w:rsidTr="001E00D9">
        <w:trPr>
          <w:trHeight w:val="146"/>
        </w:trPr>
        <w:tc>
          <w:tcPr>
            <w:tcW w:w="1998" w:type="dxa"/>
          </w:tcPr>
          <w:p w14:paraId="222C2457" w14:textId="77777777" w:rsidR="00614786" w:rsidRPr="002668CA" w:rsidRDefault="00614786" w:rsidP="00614786">
            <w:pPr>
              <w:spacing w:line="240" w:lineRule="auto"/>
            </w:pPr>
          </w:p>
        </w:tc>
        <w:tc>
          <w:tcPr>
            <w:tcW w:w="7470" w:type="dxa"/>
          </w:tcPr>
          <w:p w14:paraId="127AEE15" w14:textId="77777777" w:rsidR="00614786" w:rsidRPr="002668CA" w:rsidRDefault="00614786" w:rsidP="00614786">
            <w:pPr>
              <w:numPr>
                <w:ilvl w:val="0"/>
                <w:numId w:val="5"/>
              </w:numPr>
              <w:tabs>
                <w:tab w:val="clear" w:pos="1080"/>
              </w:tabs>
              <w:spacing w:after="0" w:line="240" w:lineRule="auto"/>
              <w:ind w:left="342"/>
              <w:jc w:val="both"/>
            </w:pPr>
            <w:r w:rsidRPr="002668CA">
              <w:t xml:space="preserve">Hazardous waste </w:t>
            </w:r>
          </w:p>
        </w:tc>
      </w:tr>
    </w:tbl>
    <w:p w14:paraId="0E781664" w14:textId="77777777" w:rsidR="00614786" w:rsidRPr="002668CA" w:rsidRDefault="00614786" w:rsidP="00614786">
      <w:pPr>
        <w:spacing w:line="240" w:lineRule="auto"/>
        <w:sectPr w:rsidR="00614786" w:rsidRPr="002668CA" w:rsidSect="003674DC">
          <w:pgSz w:w="12240" w:h="15840" w:code="1"/>
          <w:pgMar w:top="475" w:right="1584" w:bottom="288" w:left="1584" w:header="720" w:footer="0" w:gutter="0"/>
          <w:cols w:space="720"/>
        </w:sectPr>
      </w:pPr>
    </w:p>
    <w:tbl>
      <w:tblPr>
        <w:tblW w:w="9468" w:type="dxa"/>
        <w:tblLook w:val="01E0" w:firstRow="1" w:lastRow="1" w:firstColumn="1" w:lastColumn="1" w:noHBand="0" w:noVBand="0"/>
      </w:tblPr>
      <w:tblGrid>
        <w:gridCol w:w="1998"/>
        <w:gridCol w:w="7470"/>
      </w:tblGrid>
      <w:tr w:rsidR="003674DC" w:rsidRPr="002668CA" w14:paraId="4406FECC" w14:textId="77777777" w:rsidTr="001E00D9">
        <w:trPr>
          <w:trHeight w:val="1006"/>
        </w:trPr>
        <w:tc>
          <w:tcPr>
            <w:tcW w:w="1998" w:type="dxa"/>
            <w:vMerge w:val="restart"/>
          </w:tcPr>
          <w:p w14:paraId="2FFFBED0" w14:textId="16ACEB11" w:rsidR="003674DC" w:rsidRPr="002668CA" w:rsidRDefault="003674DC" w:rsidP="003674DC">
            <w:pPr>
              <w:spacing w:line="240" w:lineRule="auto"/>
            </w:pPr>
            <w:proofErr w:type="spellStart"/>
            <w:r w:rsidRPr="002668CA">
              <w:lastRenderedPageBreak/>
              <w:t>Bloodborne</w:t>
            </w:r>
            <w:proofErr w:type="spellEnd"/>
            <w:r>
              <w:t xml:space="preserve"> </w:t>
            </w:r>
            <w:r w:rsidRPr="002668CA">
              <w:t>Pathogens</w:t>
            </w:r>
          </w:p>
        </w:tc>
        <w:tc>
          <w:tcPr>
            <w:tcW w:w="7470" w:type="dxa"/>
          </w:tcPr>
          <w:p w14:paraId="01480C28" w14:textId="77777777" w:rsidR="003674DC" w:rsidRPr="002668CA" w:rsidRDefault="003674DC" w:rsidP="00614786">
            <w:pPr>
              <w:spacing w:line="240" w:lineRule="auto"/>
            </w:pPr>
            <w:r w:rsidRPr="002668CA">
              <w:t xml:space="preserve">Blood and certain body fluids can be infected with tiny organisms that can cause disease in humans.  These micro- organisms are known as </w:t>
            </w:r>
            <w:proofErr w:type="spellStart"/>
            <w:r w:rsidRPr="002668CA">
              <w:t>bloodborne</w:t>
            </w:r>
            <w:proofErr w:type="spellEnd"/>
            <w:r w:rsidRPr="002668CA">
              <w:t xml:space="preserve"> pathogens.</w:t>
            </w:r>
          </w:p>
        </w:tc>
      </w:tr>
      <w:tr w:rsidR="003674DC" w:rsidRPr="002668CA" w14:paraId="432A4DD6" w14:textId="77777777" w:rsidTr="001E00D9">
        <w:trPr>
          <w:trHeight w:val="1811"/>
        </w:trPr>
        <w:tc>
          <w:tcPr>
            <w:tcW w:w="1998" w:type="dxa"/>
            <w:vMerge/>
          </w:tcPr>
          <w:p w14:paraId="7B83E083" w14:textId="77777777" w:rsidR="003674DC" w:rsidRPr="002668CA" w:rsidRDefault="003674DC" w:rsidP="00614786">
            <w:pPr>
              <w:spacing w:line="240" w:lineRule="auto"/>
            </w:pPr>
          </w:p>
        </w:tc>
        <w:tc>
          <w:tcPr>
            <w:tcW w:w="7470" w:type="dxa"/>
          </w:tcPr>
          <w:p w14:paraId="0D48F6A2" w14:textId="77777777" w:rsidR="003674DC" w:rsidRPr="002668CA" w:rsidRDefault="003674DC" w:rsidP="00614786">
            <w:pPr>
              <w:spacing w:line="240" w:lineRule="auto"/>
            </w:pPr>
            <w:r w:rsidRPr="002668CA">
              <w:t xml:space="preserve">The </w:t>
            </w:r>
            <w:proofErr w:type="spellStart"/>
            <w:r w:rsidRPr="002668CA">
              <w:t>bloodborne</w:t>
            </w:r>
            <w:proofErr w:type="spellEnd"/>
            <w:r w:rsidRPr="002668CA">
              <w:t xml:space="preserve"> pathogens of most concern are the human immunodeficiency virus (HIV) and the hepatitis B and C viruses.  HIV causes the disease AIDS (acquired immune deficiency syndrome) and the hepatitis B and C viruses cause diseases with the same names.  Since exposure to infected blood and certain body fluids may spread these viruses, these diseases are also called </w:t>
            </w:r>
            <w:proofErr w:type="spellStart"/>
            <w:r w:rsidRPr="002668CA">
              <w:t>bloodborne</w:t>
            </w:r>
            <w:proofErr w:type="spellEnd"/>
            <w:r w:rsidRPr="002668CA">
              <w:t xml:space="preserve"> diseases.</w:t>
            </w:r>
          </w:p>
        </w:tc>
      </w:tr>
      <w:tr w:rsidR="003674DC" w:rsidRPr="002668CA" w14:paraId="05E855D2" w14:textId="77777777" w:rsidTr="001E00D9">
        <w:trPr>
          <w:trHeight w:val="737"/>
        </w:trPr>
        <w:tc>
          <w:tcPr>
            <w:tcW w:w="1998" w:type="dxa"/>
            <w:vMerge/>
          </w:tcPr>
          <w:p w14:paraId="68037BB9" w14:textId="77777777" w:rsidR="003674DC" w:rsidRPr="002668CA" w:rsidRDefault="003674DC" w:rsidP="00614786">
            <w:pPr>
              <w:spacing w:line="240" w:lineRule="auto"/>
            </w:pPr>
          </w:p>
        </w:tc>
        <w:tc>
          <w:tcPr>
            <w:tcW w:w="7470" w:type="dxa"/>
          </w:tcPr>
          <w:p w14:paraId="68AE6868" w14:textId="77777777" w:rsidR="003674DC" w:rsidRPr="002668CA" w:rsidRDefault="003674DC" w:rsidP="00614786">
            <w:pPr>
              <w:spacing w:line="240" w:lineRule="auto"/>
            </w:pPr>
            <w:r w:rsidRPr="002668CA">
              <w:t xml:space="preserve">Other </w:t>
            </w:r>
            <w:proofErr w:type="spellStart"/>
            <w:r w:rsidRPr="002668CA">
              <w:t>bloodborne</w:t>
            </w:r>
            <w:proofErr w:type="spellEnd"/>
            <w:r w:rsidRPr="002668CA">
              <w:t xml:space="preserve"> pathogens include but are not limited to malaria, syphilis, and brucellosis.  </w:t>
            </w:r>
          </w:p>
        </w:tc>
      </w:tr>
      <w:tr w:rsidR="00845D51" w:rsidRPr="002668CA" w14:paraId="69EC192E" w14:textId="77777777" w:rsidTr="001E00D9">
        <w:trPr>
          <w:trHeight w:val="1426"/>
        </w:trPr>
        <w:tc>
          <w:tcPr>
            <w:tcW w:w="1998" w:type="dxa"/>
          </w:tcPr>
          <w:p w14:paraId="6F56E654" w14:textId="77777777" w:rsidR="00845D51" w:rsidRPr="002668CA" w:rsidRDefault="00845D51" w:rsidP="00614786">
            <w:pPr>
              <w:spacing w:line="240" w:lineRule="auto"/>
            </w:pPr>
            <w:r w:rsidRPr="002668CA">
              <w:t>Contaminated</w:t>
            </w:r>
          </w:p>
        </w:tc>
        <w:tc>
          <w:tcPr>
            <w:tcW w:w="7470" w:type="dxa"/>
          </w:tcPr>
          <w:p w14:paraId="73CF11D5" w14:textId="77777777" w:rsidR="00845D51" w:rsidRPr="002668CA" w:rsidRDefault="00845D51" w:rsidP="00614786">
            <w:pPr>
              <w:spacing w:line="240" w:lineRule="auto"/>
            </w:pPr>
            <w:r w:rsidRPr="002668CA">
              <w:t>Contaminated means the presence or the reasonable anticipated presence of “blood or certain body fluids” on an item or surface.</w:t>
            </w:r>
          </w:p>
        </w:tc>
      </w:tr>
      <w:tr w:rsidR="00845D51" w:rsidRPr="002668CA" w14:paraId="672F3DCA" w14:textId="77777777" w:rsidTr="001E00D9">
        <w:trPr>
          <w:trHeight w:val="1426"/>
        </w:trPr>
        <w:tc>
          <w:tcPr>
            <w:tcW w:w="1998" w:type="dxa"/>
          </w:tcPr>
          <w:p w14:paraId="71782ED5" w14:textId="77777777" w:rsidR="00845D51" w:rsidRPr="002668CA" w:rsidRDefault="00845D51" w:rsidP="00614786">
            <w:pPr>
              <w:spacing w:line="240" w:lineRule="auto"/>
            </w:pPr>
            <w:r w:rsidRPr="002668CA">
              <w:t>Guidelines</w:t>
            </w:r>
          </w:p>
        </w:tc>
        <w:tc>
          <w:tcPr>
            <w:tcW w:w="7470" w:type="dxa"/>
          </w:tcPr>
          <w:p w14:paraId="2AA99AB0" w14:textId="77777777" w:rsidR="00845D51" w:rsidRPr="002668CA" w:rsidRDefault="00845D51" w:rsidP="00614786">
            <w:pPr>
              <w:spacing w:line="240" w:lineRule="auto"/>
            </w:pPr>
            <w:r w:rsidRPr="002668CA">
              <w:t>Guidelines are directing principles and indications or outlines of policy or conduct that should not be regarded as rigid standards.</w:t>
            </w:r>
          </w:p>
          <w:p w14:paraId="47A02EC6" w14:textId="77777777" w:rsidR="00845D51" w:rsidRPr="002668CA" w:rsidRDefault="00845D51" w:rsidP="00614786">
            <w:pPr>
              <w:spacing w:line="240" w:lineRule="auto"/>
            </w:pPr>
          </w:p>
        </w:tc>
      </w:tr>
      <w:tr w:rsidR="00845D51" w:rsidRPr="002668CA" w14:paraId="4E8CE0FA" w14:textId="77777777" w:rsidTr="001E00D9">
        <w:trPr>
          <w:trHeight w:val="947"/>
        </w:trPr>
        <w:tc>
          <w:tcPr>
            <w:tcW w:w="1998" w:type="dxa"/>
          </w:tcPr>
          <w:p w14:paraId="772130CD" w14:textId="14545249" w:rsidR="00845D51" w:rsidRPr="002668CA" w:rsidRDefault="00845D51" w:rsidP="00614786">
            <w:pPr>
              <w:spacing w:line="240" w:lineRule="auto"/>
            </w:pPr>
            <w:r w:rsidRPr="002668CA">
              <w:t>Infectious</w:t>
            </w:r>
            <w:r>
              <w:t xml:space="preserve"> </w:t>
            </w:r>
            <w:r w:rsidRPr="002668CA">
              <w:t>Disease</w:t>
            </w:r>
          </w:p>
        </w:tc>
        <w:tc>
          <w:tcPr>
            <w:tcW w:w="7470" w:type="dxa"/>
          </w:tcPr>
          <w:p w14:paraId="4F5A1964" w14:textId="77777777" w:rsidR="00845D51" w:rsidRPr="002668CA" w:rsidRDefault="00845D51" w:rsidP="00614786">
            <w:pPr>
              <w:spacing w:line="240" w:lineRule="auto"/>
            </w:pPr>
            <w:r w:rsidRPr="002668CA">
              <w:t>Refer to CNW Infection Control Guidelines, Appendix A, Definitions.</w:t>
            </w:r>
          </w:p>
        </w:tc>
      </w:tr>
      <w:tr w:rsidR="00845D51" w:rsidRPr="002668CA" w14:paraId="6197A43A" w14:textId="77777777" w:rsidTr="001E00D9">
        <w:trPr>
          <w:trHeight w:val="2872"/>
        </w:trPr>
        <w:tc>
          <w:tcPr>
            <w:tcW w:w="1998" w:type="dxa"/>
          </w:tcPr>
          <w:p w14:paraId="60439F21" w14:textId="77777777" w:rsidR="00845D51" w:rsidRPr="002668CA" w:rsidRDefault="00845D51" w:rsidP="00614786">
            <w:pPr>
              <w:spacing w:line="240" w:lineRule="auto"/>
            </w:pPr>
            <w:r w:rsidRPr="002668CA">
              <w:t>Needle</w:t>
            </w:r>
          </w:p>
        </w:tc>
        <w:tc>
          <w:tcPr>
            <w:tcW w:w="7470" w:type="dxa"/>
          </w:tcPr>
          <w:p w14:paraId="1D3CB1BF" w14:textId="77777777" w:rsidR="00845D51" w:rsidRPr="002668CA" w:rsidRDefault="00845D51" w:rsidP="00614786">
            <w:pPr>
              <w:spacing w:line="240" w:lineRule="auto"/>
            </w:pPr>
            <w:r w:rsidRPr="002668CA">
              <w:t>A needle is a sharp.  A needle is a slender hollow instrument for introducing material into or removing material from the body parenterally.</w:t>
            </w:r>
          </w:p>
          <w:p w14:paraId="3C7BB06C" w14:textId="77777777" w:rsidR="00845D51" w:rsidRPr="002668CA" w:rsidRDefault="00845D51" w:rsidP="00614786">
            <w:pPr>
              <w:spacing w:line="240" w:lineRule="auto"/>
            </w:pPr>
          </w:p>
          <w:p w14:paraId="65A1C5A4" w14:textId="77777777" w:rsidR="00845D51" w:rsidRDefault="00845D51" w:rsidP="00614786">
            <w:pPr>
              <w:spacing w:line="240" w:lineRule="auto"/>
            </w:pPr>
            <w:r w:rsidRPr="002668CA">
              <w:t>A common type of needle CNW employees may come in contact with in the course of their duties is a hypodermic syringe.  A hypodermic syringe is a piston syringe that is fitted with a hypodermic needle for giving injections.  (</w:t>
            </w:r>
            <w:proofErr w:type="gramStart"/>
            <w:r w:rsidRPr="002668CA">
              <w:t>can</w:t>
            </w:r>
            <w:proofErr w:type="gramEnd"/>
            <w:r w:rsidRPr="002668CA">
              <w:t xml:space="preserve"> be used for intravenous drug injections)</w:t>
            </w:r>
            <w:r>
              <w:t>.</w:t>
            </w:r>
          </w:p>
          <w:p w14:paraId="702BF660" w14:textId="3CC5301E" w:rsidR="00845D51" w:rsidRPr="002668CA" w:rsidRDefault="00845D51" w:rsidP="00614786">
            <w:pPr>
              <w:spacing w:line="240" w:lineRule="auto"/>
            </w:pPr>
            <w:r w:rsidRPr="002668CA">
              <w:t>*All used hypodermic needles should be treated as hazardous.</w:t>
            </w:r>
          </w:p>
        </w:tc>
      </w:tr>
      <w:tr w:rsidR="00614786" w:rsidRPr="002668CA" w14:paraId="7B36015A" w14:textId="77777777" w:rsidTr="001E00D9">
        <w:trPr>
          <w:trHeight w:val="146"/>
        </w:trPr>
        <w:tc>
          <w:tcPr>
            <w:tcW w:w="1998" w:type="dxa"/>
          </w:tcPr>
          <w:p w14:paraId="388B4E20" w14:textId="179A8E34" w:rsidR="00614786" w:rsidRPr="002668CA" w:rsidRDefault="00614786" w:rsidP="00614786">
            <w:pPr>
              <w:spacing w:line="240" w:lineRule="auto"/>
            </w:pPr>
            <w:proofErr w:type="spellStart"/>
            <w:r w:rsidRPr="002668CA">
              <w:t>Needlestick</w:t>
            </w:r>
            <w:proofErr w:type="spellEnd"/>
            <w:r w:rsidRPr="002668CA">
              <w:t xml:space="preserve"> or</w:t>
            </w:r>
            <w:r w:rsidR="00845D51">
              <w:t xml:space="preserve"> </w:t>
            </w:r>
            <w:proofErr w:type="spellStart"/>
            <w:r w:rsidR="00845D51" w:rsidRPr="002668CA">
              <w:t>Needlestick</w:t>
            </w:r>
            <w:proofErr w:type="spellEnd"/>
            <w:r w:rsidR="00845D51" w:rsidRPr="002668CA">
              <w:t xml:space="preserve"> injury</w:t>
            </w:r>
          </w:p>
        </w:tc>
        <w:tc>
          <w:tcPr>
            <w:tcW w:w="7470" w:type="dxa"/>
          </w:tcPr>
          <w:p w14:paraId="5340E24A" w14:textId="77777777" w:rsidR="00614786" w:rsidRPr="002668CA" w:rsidRDefault="00614786" w:rsidP="00614786">
            <w:pPr>
              <w:tabs>
                <w:tab w:val="left" w:pos="432"/>
              </w:tabs>
              <w:spacing w:line="240" w:lineRule="auto"/>
              <w:ind w:left="432" w:hanging="432"/>
            </w:pPr>
            <w:r w:rsidRPr="002668CA">
              <w:t xml:space="preserve">       An accidental puncture of the skin with a contaminated needle.</w:t>
            </w:r>
          </w:p>
        </w:tc>
      </w:tr>
    </w:tbl>
    <w:p w14:paraId="3320BF80" w14:textId="77777777" w:rsidR="00614786" w:rsidRPr="002668CA" w:rsidRDefault="00614786" w:rsidP="00614786">
      <w:pPr>
        <w:spacing w:line="240" w:lineRule="auto"/>
        <w:sectPr w:rsidR="00614786" w:rsidRPr="002668CA" w:rsidSect="003674DC">
          <w:pgSz w:w="12240" w:h="15840" w:code="1"/>
          <w:pgMar w:top="475" w:right="1584" w:bottom="288" w:left="1584" w:header="720" w:footer="0" w:gutter="0"/>
          <w:cols w:space="720"/>
        </w:sectPr>
      </w:pPr>
    </w:p>
    <w:tbl>
      <w:tblPr>
        <w:tblW w:w="9468" w:type="dxa"/>
        <w:tblLook w:val="01E0" w:firstRow="1" w:lastRow="1" w:firstColumn="1" w:lastColumn="1" w:noHBand="0" w:noVBand="0"/>
      </w:tblPr>
      <w:tblGrid>
        <w:gridCol w:w="1998"/>
        <w:gridCol w:w="7470"/>
      </w:tblGrid>
      <w:tr w:rsidR="00845D51" w:rsidRPr="002668CA" w14:paraId="431DBBBF" w14:textId="77777777" w:rsidTr="001E00D9">
        <w:trPr>
          <w:trHeight w:val="1279"/>
        </w:trPr>
        <w:tc>
          <w:tcPr>
            <w:tcW w:w="1998" w:type="dxa"/>
          </w:tcPr>
          <w:p w14:paraId="3B1D2633" w14:textId="26EA519C" w:rsidR="00845D51" w:rsidRPr="002668CA" w:rsidRDefault="00845D51" w:rsidP="00614786">
            <w:pPr>
              <w:spacing w:line="240" w:lineRule="auto"/>
            </w:pPr>
            <w:r w:rsidRPr="002668CA">
              <w:lastRenderedPageBreak/>
              <w:t>Occupational Exposure to</w:t>
            </w:r>
            <w:r>
              <w:t xml:space="preserve"> </w:t>
            </w:r>
            <w:proofErr w:type="spellStart"/>
            <w:r w:rsidRPr="002668CA">
              <w:t>Bloodborne</w:t>
            </w:r>
            <w:proofErr w:type="spellEnd"/>
            <w:r>
              <w:t xml:space="preserve"> </w:t>
            </w:r>
            <w:r w:rsidRPr="002668CA">
              <w:t>Pathogens</w:t>
            </w:r>
          </w:p>
        </w:tc>
        <w:tc>
          <w:tcPr>
            <w:tcW w:w="7470" w:type="dxa"/>
          </w:tcPr>
          <w:p w14:paraId="684F3E81" w14:textId="77777777" w:rsidR="00845D51" w:rsidRPr="002668CA" w:rsidRDefault="00845D51" w:rsidP="00614786">
            <w:pPr>
              <w:spacing w:line="240" w:lineRule="auto"/>
              <w:ind w:left="72"/>
            </w:pPr>
            <w:r w:rsidRPr="002668CA">
              <w:t xml:space="preserve">Reasonably anticipated harmful contact with infected blood or body fluids that may result from the performance of </w:t>
            </w:r>
            <w:proofErr w:type="spellStart"/>
            <w:proofErr w:type="gramStart"/>
            <w:r w:rsidRPr="002668CA">
              <w:t>a</w:t>
            </w:r>
            <w:proofErr w:type="spellEnd"/>
            <w:proofErr w:type="gramEnd"/>
            <w:r w:rsidRPr="002668CA">
              <w:t xml:space="preserve"> employee’s duties.  </w:t>
            </w:r>
          </w:p>
        </w:tc>
      </w:tr>
      <w:tr w:rsidR="00845D51" w:rsidRPr="002668CA" w14:paraId="489D27B6" w14:textId="77777777" w:rsidTr="001E00D9">
        <w:trPr>
          <w:trHeight w:val="737"/>
        </w:trPr>
        <w:tc>
          <w:tcPr>
            <w:tcW w:w="1998" w:type="dxa"/>
            <w:vMerge w:val="restart"/>
          </w:tcPr>
          <w:p w14:paraId="19116904" w14:textId="77777777" w:rsidR="00845D51" w:rsidRPr="002668CA" w:rsidRDefault="00845D51" w:rsidP="00614786">
            <w:pPr>
              <w:spacing w:line="240" w:lineRule="auto"/>
            </w:pPr>
            <w:r w:rsidRPr="002668CA">
              <w:t>Sharp</w:t>
            </w:r>
          </w:p>
        </w:tc>
        <w:tc>
          <w:tcPr>
            <w:tcW w:w="7470" w:type="dxa"/>
          </w:tcPr>
          <w:p w14:paraId="4BF672C1" w14:textId="77777777" w:rsidR="00845D51" w:rsidRPr="002668CA" w:rsidRDefault="00845D51" w:rsidP="00614786">
            <w:pPr>
              <w:spacing w:line="240" w:lineRule="auto"/>
            </w:pPr>
            <w:r w:rsidRPr="002668CA">
              <w:t>Is anything that can pierce, puncture or cut skin with infected blood and body fluids such as:</w:t>
            </w:r>
          </w:p>
        </w:tc>
      </w:tr>
      <w:tr w:rsidR="00845D51" w:rsidRPr="002668CA" w14:paraId="57AB0C48" w14:textId="77777777" w:rsidTr="001E00D9">
        <w:trPr>
          <w:trHeight w:val="283"/>
        </w:trPr>
        <w:tc>
          <w:tcPr>
            <w:tcW w:w="1998" w:type="dxa"/>
            <w:vMerge/>
          </w:tcPr>
          <w:p w14:paraId="1DE51AF5" w14:textId="77777777" w:rsidR="00845D51" w:rsidRPr="002668CA" w:rsidRDefault="00845D51" w:rsidP="00614786">
            <w:pPr>
              <w:spacing w:line="240" w:lineRule="auto"/>
            </w:pPr>
          </w:p>
        </w:tc>
        <w:tc>
          <w:tcPr>
            <w:tcW w:w="7470" w:type="dxa"/>
          </w:tcPr>
          <w:p w14:paraId="7947EF0F" w14:textId="77777777" w:rsidR="00845D51" w:rsidRPr="002668CA" w:rsidRDefault="00845D51" w:rsidP="00614786">
            <w:pPr>
              <w:numPr>
                <w:ilvl w:val="0"/>
                <w:numId w:val="6"/>
              </w:numPr>
              <w:spacing w:after="0" w:line="240" w:lineRule="auto"/>
            </w:pPr>
            <w:r w:rsidRPr="002668CA">
              <w:t>Needle,</w:t>
            </w:r>
          </w:p>
        </w:tc>
      </w:tr>
      <w:tr w:rsidR="00845D51" w:rsidRPr="002668CA" w14:paraId="2AF24369" w14:textId="77777777" w:rsidTr="001E00D9">
        <w:trPr>
          <w:trHeight w:val="303"/>
        </w:trPr>
        <w:tc>
          <w:tcPr>
            <w:tcW w:w="1998" w:type="dxa"/>
            <w:vMerge/>
          </w:tcPr>
          <w:p w14:paraId="58030D7B" w14:textId="77777777" w:rsidR="00845D51" w:rsidRPr="002668CA" w:rsidRDefault="00845D51" w:rsidP="00614786">
            <w:pPr>
              <w:spacing w:line="240" w:lineRule="auto"/>
            </w:pPr>
          </w:p>
        </w:tc>
        <w:tc>
          <w:tcPr>
            <w:tcW w:w="7470" w:type="dxa"/>
          </w:tcPr>
          <w:p w14:paraId="08291409" w14:textId="77777777" w:rsidR="00845D51" w:rsidRPr="002668CA" w:rsidRDefault="00845D51" w:rsidP="00614786">
            <w:pPr>
              <w:numPr>
                <w:ilvl w:val="0"/>
                <w:numId w:val="6"/>
              </w:numPr>
              <w:spacing w:after="0" w:line="240" w:lineRule="auto"/>
            </w:pPr>
            <w:r w:rsidRPr="002668CA">
              <w:t>Scalpels,</w:t>
            </w:r>
          </w:p>
        </w:tc>
      </w:tr>
      <w:tr w:rsidR="00845D51" w:rsidRPr="002668CA" w14:paraId="325B433D" w14:textId="77777777" w:rsidTr="001E00D9">
        <w:trPr>
          <w:trHeight w:val="283"/>
        </w:trPr>
        <w:tc>
          <w:tcPr>
            <w:tcW w:w="1998" w:type="dxa"/>
            <w:vMerge/>
          </w:tcPr>
          <w:p w14:paraId="2B10D815" w14:textId="77777777" w:rsidR="00845D51" w:rsidRPr="002668CA" w:rsidRDefault="00845D51" w:rsidP="00614786">
            <w:pPr>
              <w:spacing w:line="240" w:lineRule="auto"/>
            </w:pPr>
          </w:p>
        </w:tc>
        <w:tc>
          <w:tcPr>
            <w:tcW w:w="7470" w:type="dxa"/>
          </w:tcPr>
          <w:p w14:paraId="403E554D" w14:textId="77777777" w:rsidR="00845D51" w:rsidRPr="002668CA" w:rsidRDefault="00845D51" w:rsidP="00614786">
            <w:pPr>
              <w:numPr>
                <w:ilvl w:val="0"/>
                <w:numId w:val="6"/>
              </w:numPr>
              <w:spacing w:after="0" w:line="240" w:lineRule="auto"/>
            </w:pPr>
            <w:r w:rsidRPr="002668CA">
              <w:t>Knives,</w:t>
            </w:r>
          </w:p>
        </w:tc>
      </w:tr>
      <w:tr w:rsidR="00845D51" w:rsidRPr="002668CA" w14:paraId="51E57F67" w14:textId="77777777" w:rsidTr="001E00D9">
        <w:trPr>
          <w:trHeight w:val="283"/>
        </w:trPr>
        <w:tc>
          <w:tcPr>
            <w:tcW w:w="1998" w:type="dxa"/>
            <w:vMerge/>
          </w:tcPr>
          <w:p w14:paraId="722F53F3" w14:textId="77777777" w:rsidR="00845D51" w:rsidRPr="002668CA" w:rsidRDefault="00845D51" w:rsidP="00614786">
            <w:pPr>
              <w:spacing w:line="240" w:lineRule="auto"/>
            </w:pPr>
          </w:p>
        </w:tc>
        <w:tc>
          <w:tcPr>
            <w:tcW w:w="7470" w:type="dxa"/>
          </w:tcPr>
          <w:p w14:paraId="1CB4747C" w14:textId="77777777" w:rsidR="00845D51" w:rsidRPr="002668CA" w:rsidRDefault="00845D51" w:rsidP="00614786">
            <w:pPr>
              <w:numPr>
                <w:ilvl w:val="0"/>
                <w:numId w:val="6"/>
              </w:numPr>
              <w:spacing w:after="0" w:line="240" w:lineRule="auto"/>
            </w:pPr>
            <w:r w:rsidRPr="002668CA">
              <w:t>Razors,</w:t>
            </w:r>
          </w:p>
        </w:tc>
      </w:tr>
      <w:tr w:rsidR="00845D51" w:rsidRPr="002668CA" w14:paraId="2601FD64" w14:textId="77777777" w:rsidTr="001E00D9">
        <w:trPr>
          <w:trHeight w:val="283"/>
        </w:trPr>
        <w:tc>
          <w:tcPr>
            <w:tcW w:w="1998" w:type="dxa"/>
            <w:vMerge/>
          </w:tcPr>
          <w:p w14:paraId="6C5581C2" w14:textId="77777777" w:rsidR="00845D51" w:rsidRPr="002668CA" w:rsidRDefault="00845D51" w:rsidP="00614786">
            <w:pPr>
              <w:spacing w:line="240" w:lineRule="auto"/>
            </w:pPr>
          </w:p>
        </w:tc>
        <w:tc>
          <w:tcPr>
            <w:tcW w:w="7470" w:type="dxa"/>
          </w:tcPr>
          <w:p w14:paraId="275FEC89" w14:textId="77777777" w:rsidR="00845D51" w:rsidRPr="002668CA" w:rsidRDefault="00845D51" w:rsidP="00614786">
            <w:pPr>
              <w:numPr>
                <w:ilvl w:val="0"/>
                <w:numId w:val="6"/>
              </w:numPr>
              <w:spacing w:after="0" w:line="240" w:lineRule="auto"/>
            </w:pPr>
            <w:r w:rsidRPr="002668CA">
              <w:t>Scissors,</w:t>
            </w:r>
          </w:p>
        </w:tc>
      </w:tr>
      <w:tr w:rsidR="00845D51" w:rsidRPr="002668CA" w14:paraId="68BEF875" w14:textId="77777777" w:rsidTr="001E00D9">
        <w:trPr>
          <w:trHeight w:val="283"/>
        </w:trPr>
        <w:tc>
          <w:tcPr>
            <w:tcW w:w="1998" w:type="dxa"/>
            <w:vMerge/>
          </w:tcPr>
          <w:p w14:paraId="3562B2F4" w14:textId="77777777" w:rsidR="00845D51" w:rsidRPr="002668CA" w:rsidRDefault="00845D51" w:rsidP="00614786">
            <w:pPr>
              <w:spacing w:line="240" w:lineRule="auto"/>
            </w:pPr>
          </w:p>
        </w:tc>
        <w:tc>
          <w:tcPr>
            <w:tcW w:w="7470" w:type="dxa"/>
          </w:tcPr>
          <w:p w14:paraId="26781B60" w14:textId="77777777" w:rsidR="00845D51" w:rsidRPr="002668CA" w:rsidRDefault="00845D51" w:rsidP="00614786">
            <w:pPr>
              <w:numPr>
                <w:ilvl w:val="0"/>
                <w:numId w:val="6"/>
              </w:numPr>
              <w:spacing w:after="0" w:line="240" w:lineRule="auto"/>
            </w:pPr>
            <w:r w:rsidRPr="002668CA">
              <w:t xml:space="preserve">Broken glass, </w:t>
            </w:r>
            <w:proofErr w:type="spellStart"/>
            <w:r w:rsidRPr="002668CA">
              <w:t>etc</w:t>
            </w:r>
            <w:proofErr w:type="spellEnd"/>
          </w:p>
        </w:tc>
      </w:tr>
      <w:tr w:rsidR="00376CBF" w:rsidRPr="002668CA" w14:paraId="6E312458" w14:textId="77777777" w:rsidTr="001E00D9">
        <w:trPr>
          <w:trHeight w:val="3608"/>
        </w:trPr>
        <w:tc>
          <w:tcPr>
            <w:tcW w:w="1998" w:type="dxa"/>
          </w:tcPr>
          <w:p w14:paraId="1C7F9AA2" w14:textId="06AA169D" w:rsidR="00376CBF" w:rsidRPr="002668CA" w:rsidRDefault="00376CBF" w:rsidP="00614786">
            <w:pPr>
              <w:spacing w:line="240" w:lineRule="auto"/>
            </w:pPr>
            <w:r w:rsidRPr="002668CA">
              <w:t>Universal</w:t>
            </w:r>
            <w:r>
              <w:t xml:space="preserve"> </w:t>
            </w:r>
            <w:r w:rsidRPr="002668CA">
              <w:t>Precautions</w:t>
            </w:r>
          </w:p>
        </w:tc>
        <w:tc>
          <w:tcPr>
            <w:tcW w:w="7470" w:type="dxa"/>
          </w:tcPr>
          <w:p w14:paraId="665BEAFA" w14:textId="77777777" w:rsidR="00376CBF" w:rsidRPr="002668CA" w:rsidRDefault="00376CBF" w:rsidP="00614786">
            <w:pPr>
              <w:tabs>
                <w:tab w:val="left" w:pos="72"/>
                <w:tab w:val="left" w:pos="472"/>
              </w:tabs>
              <w:spacing w:line="240" w:lineRule="auto"/>
              <w:ind w:left="72"/>
            </w:pPr>
            <w:r w:rsidRPr="002668CA">
              <w:t xml:space="preserve">Universal Precautions refer to a concept of infection control designed to reduce the risk of transmission of </w:t>
            </w:r>
            <w:proofErr w:type="spellStart"/>
            <w:r w:rsidRPr="002668CA">
              <w:t>bloodborne</w:t>
            </w:r>
            <w:proofErr w:type="spellEnd"/>
            <w:r w:rsidRPr="002668CA">
              <w:t xml:space="preserve"> pathogens.</w:t>
            </w:r>
          </w:p>
          <w:p w14:paraId="6F526683" w14:textId="77777777" w:rsidR="00376CBF" w:rsidRPr="002668CA" w:rsidRDefault="00376CBF" w:rsidP="00614786">
            <w:pPr>
              <w:tabs>
                <w:tab w:val="left" w:pos="72"/>
                <w:tab w:val="left" w:pos="472"/>
              </w:tabs>
              <w:spacing w:line="240" w:lineRule="auto"/>
              <w:ind w:left="72"/>
            </w:pPr>
          </w:p>
          <w:p w14:paraId="4733ACCB" w14:textId="77777777" w:rsidR="00376CBF" w:rsidRPr="002668CA" w:rsidRDefault="00376CBF" w:rsidP="00614786">
            <w:pPr>
              <w:tabs>
                <w:tab w:val="left" w:pos="72"/>
                <w:tab w:val="left" w:pos="472"/>
              </w:tabs>
              <w:spacing w:line="240" w:lineRule="auto"/>
              <w:ind w:left="72"/>
            </w:pPr>
            <w:r w:rsidRPr="002668CA">
              <w:t>Universal Precautions require all human blood and certain body fluids to be treated as if they were known to be infectious.  Where it is difficult or impossible to differentiate between body fluids, all body fluids are to be considered as potentially infectious.</w:t>
            </w:r>
          </w:p>
          <w:p w14:paraId="2478D5AB" w14:textId="77777777" w:rsidR="00376CBF" w:rsidRPr="002668CA" w:rsidRDefault="00376CBF" w:rsidP="00614786">
            <w:pPr>
              <w:tabs>
                <w:tab w:val="left" w:pos="72"/>
                <w:tab w:val="left" w:pos="472"/>
              </w:tabs>
              <w:spacing w:line="240" w:lineRule="auto"/>
              <w:ind w:left="72"/>
            </w:pPr>
          </w:p>
          <w:p w14:paraId="4AA9C681" w14:textId="77777777" w:rsidR="00376CBF" w:rsidRPr="002668CA" w:rsidRDefault="00376CBF" w:rsidP="00614786">
            <w:pPr>
              <w:tabs>
                <w:tab w:val="left" w:pos="72"/>
                <w:tab w:val="left" w:pos="472"/>
              </w:tabs>
              <w:spacing w:line="240" w:lineRule="auto"/>
              <w:ind w:left="72"/>
            </w:pPr>
            <w:r w:rsidRPr="002668CA">
              <w:t>An example of a universal precaution is wearing waterproof gloves when handling objects contaminated with blood.</w:t>
            </w:r>
          </w:p>
        </w:tc>
      </w:tr>
    </w:tbl>
    <w:p w14:paraId="5AF50FE1" w14:textId="1EF07306" w:rsidR="00016625" w:rsidRPr="0025583F" w:rsidRDefault="00016625" w:rsidP="00614786">
      <w:pPr>
        <w:tabs>
          <w:tab w:val="left" w:pos="0"/>
        </w:tabs>
        <w:spacing w:line="240" w:lineRule="auto"/>
        <w:rPr>
          <w:rFonts w:cs="Arial"/>
        </w:rPr>
      </w:pPr>
    </w:p>
    <w:sectPr w:rsidR="00016625" w:rsidRPr="0025583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5CBCE9" w14:textId="77777777" w:rsidR="003674DC" w:rsidRDefault="003674DC" w:rsidP="00AD2EF4">
      <w:pPr>
        <w:spacing w:after="0" w:line="240" w:lineRule="auto"/>
      </w:pPr>
      <w:r>
        <w:separator/>
      </w:r>
    </w:p>
  </w:endnote>
  <w:endnote w:type="continuationSeparator" w:id="0">
    <w:p w14:paraId="570E1AAC" w14:textId="77777777" w:rsidR="003674DC" w:rsidRDefault="003674DC" w:rsidP="00AD2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ook w:val="01E0" w:firstRow="1" w:lastRow="1" w:firstColumn="1" w:lastColumn="1" w:noHBand="0" w:noVBand="0"/>
    </w:tblPr>
    <w:tblGrid>
      <w:gridCol w:w="3105"/>
      <w:gridCol w:w="3104"/>
      <w:gridCol w:w="3079"/>
    </w:tblGrid>
    <w:tr w:rsidR="00301A48" w:rsidRPr="00D3590A" w14:paraId="4B3F20BA" w14:textId="77777777" w:rsidTr="00BE37E3">
      <w:tc>
        <w:tcPr>
          <w:tcW w:w="3192" w:type="dxa"/>
          <w:tcBorders>
            <w:top w:val="single" w:sz="36" w:space="0" w:color="5C7F92"/>
          </w:tcBorders>
        </w:tcPr>
        <w:p w14:paraId="2D61F8EE" w14:textId="77777777" w:rsidR="00301A48" w:rsidRPr="00D3590A" w:rsidRDefault="00301A48" w:rsidP="00BE37E3">
          <w:pPr>
            <w:pStyle w:val="Footer"/>
            <w:spacing w:before="40"/>
            <w:ind w:right="360"/>
            <w:rPr>
              <w:rFonts w:ascii="Calibri" w:hAnsi="Calibri"/>
              <w:sz w:val="20"/>
            </w:rPr>
          </w:pPr>
          <w:r w:rsidRPr="00D3590A">
            <w:rPr>
              <w:rFonts w:ascii="Calibri" w:hAnsi="Calibri"/>
              <w:sz w:val="20"/>
            </w:rPr>
            <w:t>Revised Date:</w:t>
          </w:r>
        </w:p>
      </w:tc>
      <w:tc>
        <w:tcPr>
          <w:tcW w:w="3192" w:type="dxa"/>
          <w:tcBorders>
            <w:top w:val="single" w:sz="36" w:space="0" w:color="5C7F92"/>
          </w:tcBorders>
        </w:tcPr>
        <w:p w14:paraId="22978779" w14:textId="5530BB7A" w:rsidR="00301A48" w:rsidRPr="00D3590A" w:rsidRDefault="00301A48" w:rsidP="0007578B">
          <w:pPr>
            <w:pStyle w:val="Footer"/>
            <w:spacing w:before="40"/>
            <w:jc w:val="center"/>
            <w:rPr>
              <w:rFonts w:ascii="Calibri" w:hAnsi="Calibri"/>
              <w:sz w:val="20"/>
            </w:rPr>
          </w:pPr>
          <w:r w:rsidRPr="0007578B">
            <w:rPr>
              <w:rFonts w:ascii="Calibri" w:hAnsi="Calibri"/>
              <w:sz w:val="20"/>
            </w:rPr>
            <w:t>Document#</w:t>
          </w:r>
          <w:r w:rsidR="0007578B">
            <w:rPr>
              <w:rFonts w:ascii="Calibri" w:hAnsi="Calibri"/>
              <w:sz w:val="20"/>
            </w:rPr>
            <w:t xml:space="preserve"> </w:t>
          </w:r>
          <w:r w:rsidR="0007578B" w:rsidRPr="0007578B">
            <w:rPr>
              <w:rFonts w:ascii="Calibri" w:hAnsi="Calibri"/>
              <w:sz w:val="20"/>
            </w:rPr>
            <w:t>775914</w:t>
          </w:r>
        </w:p>
      </w:tc>
      <w:tc>
        <w:tcPr>
          <w:tcW w:w="3192" w:type="dxa"/>
          <w:tcBorders>
            <w:top w:val="single" w:sz="36" w:space="0" w:color="5C7F92"/>
          </w:tcBorders>
        </w:tcPr>
        <w:p w14:paraId="2A34EB99" w14:textId="77777777" w:rsidR="00301A48" w:rsidRPr="00D3590A" w:rsidRDefault="00301A48" w:rsidP="00BE37E3">
          <w:pPr>
            <w:pStyle w:val="Footer"/>
            <w:spacing w:before="40"/>
            <w:rPr>
              <w:rFonts w:ascii="Calibri" w:hAnsi="Calibri"/>
              <w:sz w:val="20"/>
            </w:rPr>
          </w:pPr>
          <w:r w:rsidRPr="00D3590A">
            <w:rPr>
              <w:rFonts w:ascii="Calibri" w:hAnsi="Calibri"/>
              <w:sz w:val="20"/>
            </w:rPr>
            <w:t xml:space="preserve">                                            Page   </w:t>
          </w:r>
          <w:r w:rsidRPr="00D3590A">
            <w:rPr>
              <w:rStyle w:val="PageNumber"/>
              <w:rFonts w:ascii="Calibri" w:hAnsi="Calibri"/>
              <w:sz w:val="20"/>
            </w:rPr>
            <w:fldChar w:fldCharType="begin"/>
          </w:r>
          <w:r w:rsidRPr="00D3590A">
            <w:rPr>
              <w:rStyle w:val="PageNumber"/>
              <w:rFonts w:ascii="Calibri" w:hAnsi="Calibri"/>
              <w:sz w:val="20"/>
            </w:rPr>
            <w:instrText xml:space="preserve">PAGE  </w:instrText>
          </w:r>
          <w:r w:rsidRPr="00D3590A">
            <w:rPr>
              <w:rStyle w:val="PageNumber"/>
              <w:rFonts w:ascii="Calibri" w:hAnsi="Calibri"/>
              <w:sz w:val="20"/>
            </w:rPr>
            <w:fldChar w:fldCharType="separate"/>
          </w:r>
          <w:r w:rsidR="005D1E91">
            <w:rPr>
              <w:rStyle w:val="PageNumber"/>
              <w:rFonts w:ascii="Calibri" w:hAnsi="Calibri"/>
              <w:noProof/>
              <w:sz w:val="20"/>
            </w:rPr>
            <w:t>1</w:t>
          </w:r>
          <w:r w:rsidRPr="00D3590A">
            <w:rPr>
              <w:rStyle w:val="PageNumber"/>
              <w:rFonts w:ascii="Calibri" w:hAnsi="Calibri"/>
              <w:sz w:val="20"/>
            </w:rPr>
            <w:fldChar w:fldCharType="end"/>
          </w:r>
        </w:p>
      </w:tc>
    </w:tr>
  </w:tbl>
  <w:p w14:paraId="4FD758BC" w14:textId="77777777" w:rsidR="00301A48" w:rsidRDefault="00301A48" w:rsidP="00301A48">
    <w:pPr>
      <w:pStyle w:val="Footer"/>
    </w:pPr>
    <w:r>
      <w:rPr>
        <w:rFonts w:ascii="Calibri" w:hAnsi="Calibri"/>
        <w:sz w:val="20"/>
      </w:rPr>
      <w:t>October 2015</w:t>
    </w:r>
  </w:p>
  <w:p w14:paraId="7D62E05B" w14:textId="77777777" w:rsidR="00301A48" w:rsidRDefault="00301A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6F1417" w14:textId="77777777" w:rsidR="003674DC" w:rsidRDefault="003674DC" w:rsidP="00AD2EF4">
      <w:pPr>
        <w:spacing w:after="0" w:line="240" w:lineRule="auto"/>
      </w:pPr>
      <w:r>
        <w:separator/>
      </w:r>
    </w:p>
  </w:footnote>
  <w:footnote w:type="continuationSeparator" w:id="0">
    <w:p w14:paraId="52BC0872" w14:textId="77777777" w:rsidR="003674DC" w:rsidRDefault="003674DC" w:rsidP="00AD2E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4A1987" w14:textId="77777777" w:rsidR="003674DC" w:rsidRDefault="005D1E91">
    <w:pPr>
      <w:pStyle w:val="Header"/>
    </w:pPr>
    <w:r>
      <w:rPr>
        <w:noProof/>
      </w:rPr>
      <w:pict w14:anchorId="57A902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 o:spid="_x0000_s2049" type="#_x0000_t136" style="position:absolute;margin-left:0;margin-top:0;width:494.9pt;height:164.95pt;rotation:315;z-index:-251657216;mso-wrap-edited:f;mso-position-horizontal:center;mso-position-horizontal-relative:margin;mso-position-vertical:center;mso-position-vertical-relative:margin" wrapcoords="21370 5400 14727 5498 14661 5694 14530 6970 14563 11487 11814 5105 11716 5301 11290 5498 11192 5498 10145 11781 8410 6578 7592 4614 7298 5400 5792 5400 5629 5694 5530 6087 5530 11094 4058 7167 3141 5105 2912 5596 2650 5498 752 5498 621 5694 589 16003 883 16887 2323 16985 2945 16690 3501 16200 3992 15512 4320 14334 4581 14923 5890 17181 5956 16887 6185 16887 6283 16592 6349 15905 6349 13647 6512 11978 7690 15414 8705 17574 8967 16985 9752 17083 10145 16690 10243 16396 10472 14923 10930 14040 11618 13941 11814 14334 13287 16985 13320 16887 13745 16887 13876 16494 13810 16003 14825 16887 15152 16887 15283 16690 15381 16298 15381 14040 15480 12076 16887 11978 17214 11683 17312 10996 19014 16003 19701 17672 19963 16789 20029 14825 20029 8050 20487 7069 21141 6970 21469 6872 21534 6676 21534 5989 21370 5400"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double" w:sz="6" w:space="0" w:color="auto"/>
      </w:tblBorders>
      <w:tblLook w:val="01E0" w:firstRow="1" w:lastRow="1" w:firstColumn="1" w:lastColumn="1" w:noHBand="0" w:noVBand="0"/>
    </w:tblPr>
    <w:tblGrid>
      <w:gridCol w:w="5296"/>
      <w:gridCol w:w="3992"/>
    </w:tblGrid>
    <w:tr w:rsidR="003674DC" w:rsidRPr="00034924" w14:paraId="75A3FAFB" w14:textId="77777777" w:rsidTr="003674DC">
      <w:tc>
        <w:tcPr>
          <w:tcW w:w="5148" w:type="dxa"/>
          <w:vMerge w:val="restart"/>
          <w:tcBorders>
            <w:bottom w:val="single" w:sz="36" w:space="0" w:color="5C7F92"/>
          </w:tcBorders>
        </w:tcPr>
        <w:p w14:paraId="243943CF" w14:textId="77777777" w:rsidR="003674DC" w:rsidRPr="00B47C37" w:rsidRDefault="003674DC" w:rsidP="003674DC">
          <w:pPr>
            <w:pStyle w:val="Header"/>
            <w:spacing w:after="240"/>
            <w:rPr>
              <w:b/>
            </w:rPr>
          </w:pPr>
          <w:r>
            <w:rPr>
              <w:b/>
              <w:noProof/>
            </w:rPr>
            <w:drawing>
              <wp:inline distT="0" distB="0" distL="0" distR="0" wp14:anchorId="4422B07E" wp14:editId="01D9AA6B">
                <wp:extent cx="3214370" cy="631825"/>
                <wp:effectExtent l="0" t="0" r="11430" b="3175"/>
                <wp:docPr id="3" name="Picture 3" descr="CNW_human_resources_logo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W_human_resources_logo_l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14370" cy="631825"/>
                        </a:xfrm>
                        <a:prstGeom prst="rect">
                          <a:avLst/>
                        </a:prstGeom>
                        <a:noFill/>
                        <a:ln>
                          <a:noFill/>
                        </a:ln>
                      </pic:spPr>
                    </pic:pic>
                  </a:graphicData>
                </a:graphic>
              </wp:inline>
            </w:drawing>
          </w:r>
        </w:p>
      </w:tc>
      <w:tc>
        <w:tcPr>
          <w:tcW w:w="4428" w:type="dxa"/>
          <w:tcBorders>
            <w:bottom w:val="nil"/>
          </w:tcBorders>
        </w:tcPr>
        <w:p w14:paraId="43EB0F13" w14:textId="77777777" w:rsidR="003674DC" w:rsidRDefault="003674DC" w:rsidP="003674DC">
          <w:pPr>
            <w:pStyle w:val="Header"/>
            <w:jc w:val="right"/>
            <w:rPr>
              <w:rFonts w:ascii="Calibri" w:hAnsi="Calibri"/>
              <w:b/>
              <w:color w:val="5C7F92"/>
              <w:sz w:val="28"/>
              <w:szCs w:val="28"/>
            </w:rPr>
          </w:pPr>
          <w:r w:rsidRPr="00034924">
            <w:rPr>
              <w:rFonts w:ascii="Calibri" w:hAnsi="Calibri"/>
              <w:b/>
              <w:color w:val="5C7F92"/>
              <w:sz w:val="28"/>
              <w:szCs w:val="28"/>
            </w:rPr>
            <w:t>HEALTH AND SAFETY</w:t>
          </w:r>
        </w:p>
        <w:p w14:paraId="3B38305C" w14:textId="77777777" w:rsidR="003674DC" w:rsidRPr="00034924" w:rsidRDefault="003674DC" w:rsidP="00177215">
          <w:pPr>
            <w:pStyle w:val="Header"/>
            <w:jc w:val="right"/>
            <w:rPr>
              <w:rFonts w:ascii="Calibri" w:hAnsi="Calibri"/>
              <w:b/>
              <w:color w:val="5C7F92"/>
              <w:sz w:val="28"/>
              <w:szCs w:val="28"/>
            </w:rPr>
          </w:pPr>
        </w:p>
      </w:tc>
    </w:tr>
    <w:tr w:rsidR="003674DC" w:rsidRPr="00034924" w14:paraId="291731F5" w14:textId="77777777" w:rsidTr="003674DC">
      <w:tc>
        <w:tcPr>
          <w:tcW w:w="5148" w:type="dxa"/>
          <w:vMerge/>
          <w:tcBorders>
            <w:top w:val="single" w:sz="24" w:space="0" w:color="5C7F92"/>
            <w:bottom w:val="single" w:sz="36" w:space="0" w:color="5C7F92"/>
          </w:tcBorders>
        </w:tcPr>
        <w:p w14:paraId="2EE06CEA" w14:textId="77777777" w:rsidR="003674DC" w:rsidRPr="00B47C37" w:rsidRDefault="003674DC" w:rsidP="003674DC">
          <w:pPr>
            <w:pStyle w:val="Header"/>
            <w:rPr>
              <w:b/>
            </w:rPr>
          </w:pPr>
        </w:p>
      </w:tc>
      <w:tc>
        <w:tcPr>
          <w:tcW w:w="4428" w:type="dxa"/>
          <w:tcBorders>
            <w:bottom w:val="single" w:sz="36" w:space="0" w:color="5C7F92"/>
          </w:tcBorders>
        </w:tcPr>
        <w:p w14:paraId="72BF1F0D" w14:textId="5A606713" w:rsidR="003674DC" w:rsidRPr="00034924" w:rsidRDefault="005D1E91" w:rsidP="003674DC">
          <w:pPr>
            <w:pStyle w:val="Header"/>
            <w:jc w:val="right"/>
            <w:rPr>
              <w:rFonts w:ascii="Calibri" w:hAnsi="Calibri"/>
              <w:b/>
              <w:color w:val="5C7F92"/>
            </w:rPr>
          </w:pPr>
          <w:proofErr w:type="spellStart"/>
          <w:r>
            <w:rPr>
              <w:rFonts w:ascii="Calibri" w:hAnsi="Calibri"/>
              <w:b/>
              <w:color w:val="5C7F92"/>
            </w:rPr>
            <w:t>Bloodborne</w:t>
          </w:r>
          <w:proofErr w:type="spellEnd"/>
          <w:r>
            <w:rPr>
              <w:rFonts w:ascii="Calibri" w:hAnsi="Calibri"/>
              <w:b/>
              <w:color w:val="5C7F92"/>
            </w:rPr>
            <w:t xml:space="preserve"> Pathogens</w:t>
          </w:r>
          <w:r w:rsidR="003674DC">
            <w:rPr>
              <w:rFonts w:ascii="Calibri" w:hAnsi="Calibri"/>
              <w:b/>
              <w:color w:val="5C7F92"/>
            </w:rPr>
            <w:t xml:space="preserve"> Definitions  </w:t>
          </w:r>
        </w:p>
      </w:tc>
    </w:tr>
  </w:tbl>
  <w:p w14:paraId="0C4C88C8" w14:textId="77777777" w:rsidR="003674DC" w:rsidRPr="00614786" w:rsidRDefault="003674DC" w:rsidP="006147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AD219B" w14:textId="77777777" w:rsidR="003674DC" w:rsidRDefault="005D1E91">
    <w:pPr>
      <w:pStyle w:val="Header"/>
    </w:pPr>
    <w:r>
      <w:rPr>
        <w:noProof/>
      </w:rPr>
      <w:pict w14:anchorId="09D935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 o:spid="_x0000_s2050" type="#_x0000_t136" style="position:absolute;margin-left:0;margin-top:0;width:494.9pt;height:164.95pt;rotation:315;z-index:-251656192;mso-wrap-edited:f;mso-position-horizontal:center;mso-position-horizontal-relative:margin;mso-position-vertical:center;mso-position-vertical-relative:margin" wrapcoords="21370 5400 14727 5498 14661 5694 14530 6970 14563 11487 11814 5105 11716 5301 11290 5498 11192 5498 10145 11781 8410 6578 7592 4614 7298 5400 5792 5400 5629 5694 5530 6087 5530 11094 4058 7167 3141 5105 2912 5596 2650 5498 752 5498 621 5694 589 16003 883 16887 2323 16985 2945 16690 3501 16200 3992 15512 4320 14334 4581 14923 5890 17181 5956 16887 6185 16887 6283 16592 6349 15905 6349 13647 6512 11978 7690 15414 8705 17574 8967 16985 9752 17083 10145 16690 10243 16396 10472 14923 10930 14040 11618 13941 11814 14334 13287 16985 13320 16887 13745 16887 13876 16494 13810 16003 14825 16887 15152 16887 15283 16690 15381 16298 15381 14040 15480 12076 16887 11978 17214 11683 17312 10996 19014 16003 19701 17672 19963 16789 20029 14825 20029 8050 20487 7069 21141 6970 21469 6872 21534 6676 21534 5989 21370 5400"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67C84"/>
    <w:multiLevelType w:val="hybridMultilevel"/>
    <w:tmpl w:val="56E4D87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276918F2"/>
    <w:multiLevelType w:val="hybridMultilevel"/>
    <w:tmpl w:val="58DEA87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2EF4083F"/>
    <w:multiLevelType w:val="hybridMultilevel"/>
    <w:tmpl w:val="E5D021B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45842DB7"/>
    <w:multiLevelType w:val="hybridMultilevel"/>
    <w:tmpl w:val="E84AEB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38B3133"/>
    <w:multiLevelType w:val="hybridMultilevel"/>
    <w:tmpl w:val="80F83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7F3CBC"/>
    <w:multiLevelType w:val="hybridMultilevel"/>
    <w:tmpl w:val="D39A75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9837A6B"/>
    <w:multiLevelType w:val="hybridMultilevel"/>
    <w:tmpl w:val="484A91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2"/>
  </w:num>
  <w:num w:numId="4">
    <w:abstractNumId w:val="5"/>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EF4"/>
    <w:rsid w:val="00016625"/>
    <w:rsid w:val="00051C46"/>
    <w:rsid w:val="0007578B"/>
    <w:rsid w:val="00177215"/>
    <w:rsid w:val="001E00D9"/>
    <w:rsid w:val="00210E27"/>
    <w:rsid w:val="0025583F"/>
    <w:rsid w:val="002D1F3D"/>
    <w:rsid w:val="00301A48"/>
    <w:rsid w:val="00346113"/>
    <w:rsid w:val="003674DC"/>
    <w:rsid w:val="00376CBF"/>
    <w:rsid w:val="005D1E91"/>
    <w:rsid w:val="00614786"/>
    <w:rsid w:val="00703089"/>
    <w:rsid w:val="00845D51"/>
    <w:rsid w:val="008B51A4"/>
    <w:rsid w:val="008E5FFE"/>
    <w:rsid w:val="009469DC"/>
    <w:rsid w:val="00AA5151"/>
    <w:rsid w:val="00AA6819"/>
    <w:rsid w:val="00AD2EF4"/>
    <w:rsid w:val="00C5305D"/>
    <w:rsid w:val="00D41790"/>
    <w:rsid w:val="00D53C21"/>
    <w:rsid w:val="00E84A4F"/>
    <w:rsid w:val="00E90C1D"/>
    <w:rsid w:val="00EA0A6D"/>
    <w:rsid w:val="00F75F9E"/>
    <w:rsid w:val="00FA56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6260C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03089"/>
    <w:pPr>
      <w:keepNext/>
      <w:spacing w:before="240" w:after="60" w:line="240" w:lineRule="auto"/>
      <w:outlineLvl w:val="0"/>
    </w:pPr>
    <w:rPr>
      <w:rFonts w:ascii="Calibri" w:eastAsia="MS Gothic" w:hAnsi="Calibri" w:cs="Times New Roman"/>
      <w:b/>
      <w:bCs/>
      <w:kern w:val="32"/>
      <w:sz w:val="32"/>
      <w:szCs w:val="32"/>
    </w:rPr>
  </w:style>
  <w:style w:type="paragraph" w:styleId="Heading2">
    <w:name w:val="heading 2"/>
    <w:basedOn w:val="Normal"/>
    <w:next w:val="Normal"/>
    <w:link w:val="Heading2Char"/>
    <w:unhideWhenUsed/>
    <w:qFormat/>
    <w:rsid w:val="00703089"/>
    <w:pPr>
      <w:keepNext/>
      <w:spacing w:before="240" w:after="60" w:line="240" w:lineRule="auto"/>
      <w:outlineLvl w:val="1"/>
    </w:pPr>
    <w:rPr>
      <w:rFonts w:ascii="Calibri" w:eastAsia="MS Gothic" w:hAnsi="Calibri" w:cs="Times New Roman"/>
      <w:b/>
      <w:bCs/>
      <w:i/>
      <w:iCs/>
      <w:sz w:val="28"/>
      <w:szCs w:val="28"/>
    </w:rPr>
  </w:style>
  <w:style w:type="paragraph" w:styleId="Heading3">
    <w:name w:val="heading 3"/>
    <w:basedOn w:val="Normal"/>
    <w:next w:val="Normal"/>
    <w:link w:val="Heading3Char"/>
    <w:qFormat/>
    <w:rsid w:val="00703089"/>
    <w:pPr>
      <w:keepNext/>
      <w:overflowPunct w:val="0"/>
      <w:autoSpaceDE w:val="0"/>
      <w:autoSpaceDN w:val="0"/>
      <w:adjustRightInd w:val="0"/>
      <w:spacing w:after="0" w:line="240" w:lineRule="auto"/>
      <w:textAlignment w:val="baseline"/>
      <w:outlineLvl w:val="2"/>
    </w:pPr>
    <w:rPr>
      <w:rFonts w:ascii="Calibri" w:eastAsia="Times New Roman" w:hAnsi="Calibri" w:cs="Times New Roman"/>
      <w:b/>
      <w:bCs/>
      <w:i/>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E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EF4"/>
  </w:style>
  <w:style w:type="paragraph" w:styleId="BalloonText">
    <w:name w:val="Balloon Text"/>
    <w:basedOn w:val="Normal"/>
    <w:link w:val="BalloonTextChar"/>
    <w:uiPriority w:val="99"/>
    <w:semiHidden/>
    <w:unhideWhenUsed/>
    <w:rsid w:val="00AD2E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EF4"/>
    <w:rPr>
      <w:rFonts w:ascii="Tahoma" w:hAnsi="Tahoma" w:cs="Tahoma"/>
      <w:sz w:val="16"/>
      <w:szCs w:val="16"/>
    </w:rPr>
  </w:style>
  <w:style w:type="paragraph" w:styleId="Footer">
    <w:name w:val="footer"/>
    <w:basedOn w:val="Normal"/>
    <w:link w:val="FooterChar"/>
    <w:unhideWhenUsed/>
    <w:rsid w:val="00AD2EF4"/>
    <w:pPr>
      <w:tabs>
        <w:tab w:val="center" w:pos="4680"/>
        <w:tab w:val="right" w:pos="9360"/>
      </w:tabs>
      <w:spacing w:after="0" w:line="240" w:lineRule="auto"/>
    </w:pPr>
  </w:style>
  <w:style w:type="character" w:customStyle="1" w:styleId="FooterChar">
    <w:name w:val="Footer Char"/>
    <w:basedOn w:val="DefaultParagraphFont"/>
    <w:link w:val="Footer"/>
    <w:rsid w:val="00AD2EF4"/>
  </w:style>
  <w:style w:type="character" w:styleId="PageNumber">
    <w:name w:val="page number"/>
    <w:basedOn w:val="DefaultParagraphFont"/>
    <w:rsid w:val="00AA6819"/>
  </w:style>
  <w:style w:type="character" w:customStyle="1" w:styleId="Heading1Char">
    <w:name w:val="Heading 1 Char"/>
    <w:basedOn w:val="DefaultParagraphFont"/>
    <w:link w:val="Heading1"/>
    <w:rsid w:val="00703089"/>
    <w:rPr>
      <w:rFonts w:ascii="Calibri" w:eastAsia="MS Gothic" w:hAnsi="Calibri" w:cs="Times New Roman"/>
      <w:b/>
      <w:bCs/>
      <w:kern w:val="32"/>
      <w:sz w:val="32"/>
      <w:szCs w:val="32"/>
    </w:rPr>
  </w:style>
  <w:style w:type="character" w:customStyle="1" w:styleId="Heading2Char">
    <w:name w:val="Heading 2 Char"/>
    <w:basedOn w:val="DefaultParagraphFont"/>
    <w:link w:val="Heading2"/>
    <w:rsid w:val="00703089"/>
    <w:rPr>
      <w:rFonts w:ascii="Calibri" w:eastAsia="MS Gothic" w:hAnsi="Calibri" w:cs="Times New Roman"/>
      <w:b/>
      <w:bCs/>
      <w:i/>
      <w:iCs/>
      <w:sz w:val="28"/>
      <w:szCs w:val="28"/>
    </w:rPr>
  </w:style>
  <w:style w:type="character" w:customStyle="1" w:styleId="Heading3Char">
    <w:name w:val="Heading 3 Char"/>
    <w:basedOn w:val="DefaultParagraphFont"/>
    <w:link w:val="Heading3"/>
    <w:rsid w:val="00703089"/>
    <w:rPr>
      <w:rFonts w:ascii="Calibri" w:eastAsia="Times New Roman" w:hAnsi="Calibri" w:cs="Times New Roman"/>
      <w:b/>
      <w:bCs/>
      <w:i/>
      <w:sz w:val="26"/>
      <w:szCs w:val="20"/>
    </w:rPr>
  </w:style>
  <w:style w:type="paragraph" w:styleId="BodyText">
    <w:name w:val="Body Text"/>
    <w:basedOn w:val="Normal"/>
    <w:link w:val="BodyTextChar"/>
    <w:unhideWhenUsed/>
    <w:rsid w:val="00614786"/>
    <w:pPr>
      <w:spacing w:after="120" w:line="240" w:lineRule="auto"/>
    </w:pPr>
    <w:rPr>
      <w:rFonts w:ascii="Calibri" w:eastAsia="Calibri" w:hAnsi="Calibri" w:cs="Times New Roman"/>
    </w:rPr>
  </w:style>
  <w:style w:type="character" w:customStyle="1" w:styleId="BodyTextChar">
    <w:name w:val="Body Text Char"/>
    <w:basedOn w:val="DefaultParagraphFont"/>
    <w:link w:val="BodyText"/>
    <w:rsid w:val="00614786"/>
    <w:rPr>
      <w:rFonts w:ascii="Calibri" w:eastAsia="Calibri" w:hAnsi="Calibri" w:cs="Times New Roman"/>
    </w:rPr>
  </w:style>
  <w:style w:type="paragraph" w:styleId="ListParagraph">
    <w:name w:val="List Paragraph"/>
    <w:basedOn w:val="Normal"/>
    <w:uiPriority w:val="34"/>
    <w:qFormat/>
    <w:rsid w:val="006147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03089"/>
    <w:pPr>
      <w:keepNext/>
      <w:spacing w:before="240" w:after="60" w:line="240" w:lineRule="auto"/>
      <w:outlineLvl w:val="0"/>
    </w:pPr>
    <w:rPr>
      <w:rFonts w:ascii="Calibri" w:eastAsia="MS Gothic" w:hAnsi="Calibri" w:cs="Times New Roman"/>
      <w:b/>
      <w:bCs/>
      <w:kern w:val="32"/>
      <w:sz w:val="32"/>
      <w:szCs w:val="32"/>
    </w:rPr>
  </w:style>
  <w:style w:type="paragraph" w:styleId="Heading2">
    <w:name w:val="heading 2"/>
    <w:basedOn w:val="Normal"/>
    <w:next w:val="Normal"/>
    <w:link w:val="Heading2Char"/>
    <w:unhideWhenUsed/>
    <w:qFormat/>
    <w:rsid w:val="00703089"/>
    <w:pPr>
      <w:keepNext/>
      <w:spacing w:before="240" w:after="60" w:line="240" w:lineRule="auto"/>
      <w:outlineLvl w:val="1"/>
    </w:pPr>
    <w:rPr>
      <w:rFonts w:ascii="Calibri" w:eastAsia="MS Gothic" w:hAnsi="Calibri" w:cs="Times New Roman"/>
      <w:b/>
      <w:bCs/>
      <w:i/>
      <w:iCs/>
      <w:sz w:val="28"/>
      <w:szCs w:val="28"/>
    </w:rPr>
  </w:style>
  <w:style w:type="paragraph" w:styleId="Heading3">
    <w:name w:val="heading 3"/>
    <w:basedOn w:val="Normal"/>
    <w:next w:val="Normal"/>
    <w:link w:val="Heading3Char"/>
    <w:qFormat/>
    <w:rsid w:val="00703089"/>
    <w:pPr>
      <w:keepNext/>
      <w:overflowPunct w:val="0"/>
      <w:autoSpaceDE w:val="0"/>
      <w:autoSpaceDN w:val="0"/>
      <w:adjustRightInd w:val="0"/>
      <w:spacing w:after="0" w:line="240" w:lineRule="auto"/>
      <w:textAlignment w:val="baseline"/>
      <w:outlineLvl w:val="2"/>
    </w:pPr>
    <w:rPr>
      <w:rFonts w:ascii="Calibri" w:eastAsia="Times New Roman" w:hAnsi="Calibri" w:cs="Times New Roman"/>
      <w:b/>
      <w:bCs/>
      <w:i/>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E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EF4"/>
  </w:style>
  <w:style w:type="paragraph" w:styleId="BalloonText">
    <w:name w:val="Balloon Text"/>
    <w:basedOn w:val="Normal"/>
    <w:link w:val="BalloonTextChar"/>
    <w:uiPriority w:val="99"/>
    <w:semiHidden/>
    <w:unhideWhenUsed/>
    <w:rsid w:val="00AD2E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EF4"/>
    <w:rPr>
      <w:rFonts w:ascii="Tahoma" w:hAnsi="Tahoma" w:cs="Tahoma"/>
      <w:sz w:val="16"/>
      <w:szCs w:val="16"/>
    </w:rPr>
  </w:style>
  <w:style w:type="paragraph" w:styleId="Footer">
    <w:name w:val="footer"/>
    <w:basedOn w:val="Normal"/>
    <w:link w:val="FooterChar"/>
    <w:unhideWhenUsed/>
    <w:rsid w:val="00AD2EF4"/>
    <w:pPr>
      <w:tabs>
        <w:tab w:val="center" w:pos="4680"/>
        <w:tab w:val="right" w:pos="9360"/>
      </w:tabs>
      <w:spacing w:after="0" w:line="240" w:lineRule="auto"/>
    </w:pPr>
  </w:style>
  <w:style w:type="character" w:customStyle="1" w:styleId="FooterChar">
    <w:name w:val="Footer Char"/>
    <w:basedOn w:val="DefaultParagraphFont"/>
    <w:link w:val="Footer"/>
    <w:rsid w:val="00AD2EF4"/>
  </w:style>
  <w:style w:type="character" w:styleId="PageNumber">
    <w:name w:val="page number"/>
    <w:basedOn w:val="DefaultParagraphFont"/>
    <w:rsid w:val="00AA6819"/>
  </w:style>
  <w:style w:type="character" w:customStyle="1" w:styleId="Heading1Char">
    <w:name w:val="Heading 1 Char"/>
    <w:basedOn w:val="DefaultParagraphFont"/>
    <w:link w:val="Heading1"/>
    <w:rsid w:val="00703089"/>
    <w:rPr>
      <w:rFonts w:ascii="Calibri" w:eastAsia="MS Gothic" w:hAnsi="Calibri" w:cs="Times New Roman"/>
      <w:b/>
      <w:bCs/>
      <w:kern w:val="32"/>
      <w:sz w:val="32"/>
      <w:szCs w:val="32"/>
    </w:rPr>
  </w:style>
  <w:style w:type="character" w:customStyle="1" w:styleId="Heading2Char">
    <w:name w:val="Heading 2 Char"/>
    <w:basedOn w:val="DefaultParagraphFont"/>
    <w:link w:val="Heading2"/>
    <w:rsid w:val="00703089"/>
    <w:rPr>
      <w:rFonts w:ascii="Calibri" w:eastAsia="MS Gothic" w:hAnsi="Calibri" w:cs="Times New Roman"/>
      <w:b/>
      <w:bCs/>
      <w:i/>
      <w:iCs/>
      <w:sz w:val="28"/>
      <w:szCs w:val="28"/>
    </w:rPr>
  </w:style>
  <w:style w:type="character" w:customStyle="1" w:styleId="Heading3Char">
    <w:name w:val="Heading 3 Char"/>
    <w:basedOn w:val="DefaultParagraphFont"/>
    <w:link w:val="Heading3"/>
    <w:rsid w:val="00703089"/>
    <w:rPr>
      <w:rFonts w:ascii="Calibri" w:eastAsia="Times New Roman" w:hAnsi="Calibri" w:cs="Times New Roman"/>
      <w:b/>
      <w:bCs/>
      <w:i/>
      <w:sz w:val="26"/>
      <w:szCs w:val="20"/>
    </w:rPr>
  </w:style>
  <w:style w:type="paragraph" w:styleId="BodyText">
    <w:name w:val="Body Text"/>
    <w:basedOn w:val="Normal"/>
    <w:link w:val="BodyTextChar"/>
    <w:unhideWhenUsed/>
    <w:rsid w:val="00614786"/>
    <w:pPr>
      <w:spacing w:after="120" w:line="240" w:lineRule="auto"/>
    </w:pPr>
    <w:rPr>
      <w:rFonts w:ascii="Calibri" w:eastAsia="Calibri" w:hAnsi="Calibri" w:cs="Times New Roman"/>
    </w:rPr>
  </w:style>
  <w:style w:type="character" w:customStyle="1" w:styleId="BodyTextChar">
    <w:name w:val="Body Text Char"/>
    <w:basedOn w:val="DefaultParagraphFont"/>
    <w:link w:val="BodyText"/>
    <w:rsid w:val="00614786"/>
    <w:rPr>
      <w:rFonts w:ascii="Calibri" w:eastAsia="Calibri" w:hAnsi="Calibri" w:cs="Times New Roman"/>
    </w:rPr>
  </w:style>
  <w:style w:type="paragraph" w:styleId="ListParagraph">
    <w:name w:val="List Paragraph"/>
    <w:basedOn w:val="Normal"/>
    <w:uiPriority w:val="34"/>
    <w:qFormat/>
    <w:rsid w:val="006147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606592">
      <w:bodyDiv w:val="1"/>
      <w:marLeft w:val="0"/>
      <w:marRight w:val="0"/>
      <w:marTop w:val="0"/>
      <w:marBottom w:val="0"/>
      <w:divBdr>
        <w:top w:val="none" w:sz="0" w:space="0" w:color="auto"/>
        <w:left w:val="none" w:sz="0" w:space="0" w:color="auto"/>
        <w:bottom w:val="none" w:sz="0" w:space="0" w:color="auto"/>
        <w:right w:val="none" w:sz="0" w:space="0" w:color="auto"/>
      </w:divBdr>
      <w:divsChild>
        <w:div w:id="878052643">
          <w:marLeft w:val="0"/>
          <w:marRight w:val="0"/>
          <w:marTop w:val="0"/>
          <w:marBottom w:val="0"/>
          <w:divBdr>
            <w:top w:val="none" w:sz="0" w:space="0" w:color="auto"/>
            <w:left w:val="none" w:sz="0" w:space="0" w:color="auto"/>
            <w:bottom w:val="none" w:sz="0" w:space="0" w:color="auto"/>
            <w:right w:val="none" w:sz="0" w:space="0" w:color="auto"/>
          </w:divBdr>
          <w:divsChild>
            <w:div w:id="1032342454">
              <w:marLeft w:val="0"/>
              <w:marRight w:val="0"/>
              <w:marTop w:val="0"/>
              <w:marBottom w:val="0"/>
              <w:divBdr>
                <w:top w:val="none" w:sz="0" w:space="0" w:color="auto"/>
                <w:left w:val="none" w:sz="0" w:space="0" w:color="auto"/>
                <w:bottom w:val="none" w:sz="0" w:space="0" w:color="auto"/>
                <w:right w:val="none" w:sz="0" w:space="0" w:color="auto"/>
              </w:divBdr>
              <w:divsChild>
                <w:div w:id="2059358055">
                  <w:marLeft w:val="0"/>
                  <w:marRight w:val="0"/>
                  <w:marTop w:val="0"/>
                  <w:marBottom w:val="0"/>
                  <w:divBdr>
                    <w:top w:val="none" w:sz="0" w:space="0" w:color="auto"/>
                    <w:left w:val="none" w:sz="0" w:space="0" w:color="auto"/>
                    <w:bottom w:val="none" w:sz="0" w:space="0" w:color="auto"/>
                    <w:right w:val="none" w:sz="0" w:space="0" w:color="auto"/>
                  </w:divBdr>
                  <w:divsChild>
                    <w:div w:id="1565993152">
                      <w:marLeft w:val="0"/>
                      <w:marRight w:val="0"/>
                      <w:marTop w:val="0"/>
                      <w:marBottom w:val="0"/>
                      <w:divBdr>
                        <w:top w:val="none" w:sz="0" w:space="0" w:color="auto"/>
                        <w:left w:val="none" w:sz="0" w:space="0" w:color="auto"/>
                        <w:bottom w:val="none" w:sz="0" w:space="0" w:color="auto"/>
                        <w:right w:val="none" w:sz="0" w:space="0" w:color="auto"/>
                      </w:divBdr>
                      <w:divsChild>
                        <w:div w:id="1273439530">
                          <w:marLeft w:val="0"/>
                          <w:marRight w:val="0"/>
                          <w:marTop w:val="0"/>
                          <w:marBottom w:val="0"/>
                          <w:divBdr>
                            <w:top w:val="none" w:sz="0" w:space="0" w:color="auto"/>
                            <w:left w:val="none" w:sz="0" w:space="0" w:color="auto"/>
                            <w:bottom w:val="none" w:sz="0" w:space="0" w:color="auto"/>
                            <w:right w:val="none" w:sz="0" w:space="0" w:color="auto"/>
                          </w:divBdr>
                          <w:divsChild>
                            <w:div w:id="1314259400">
                              <w:marLeft w:val="0"/>
                              <w:marRight w:val="0"/>
                              <w:marTop w:val="0"/>
                              <w:marBottom w:val="0"/>
                              <w:divBdr>
                                <w:top w:val="none" w:sz="0" w:space="0" w:color="auto"/>
                                <w:left w:val="none" w:sz="0" w:space="0" w:color="auto"/>
                                <w:bottom w:val="none" w:sz="0" w:space="0" w:color="auto"/>
                                <w:right w:val="none" w:sz="0" w:space="0" w:color="auto"/>
                              </w:divBdr>
                              <w:divsChild>
                                <w:div w:id="219750214">
                                  <w:marLeft w:val="0"/>
                                  <w:marRight w:val="0"/>
                                  <w:marTop w:val="270"/>
                                  <w:marBottom w:val="0"/>
                                  <w:divBdr>
                                    <w:top w:val="none" w:sz="0" w:space="0" w:color="auto"/>
                                    <w:left w:val="none" w:sz="0" w:space="0" w:color="auto"/>
                                    <w:bottom w:val="none" w:sz="0" w:space="0" w:color="auto"/>
                                    <w:right w:val="none" w:sz="0" w:space="0" w:color="auto"/>
                                  </w:divBdr>
                                  <w:divsChild>
                                    <w:div w:id="96607191">
                                      <w:marLeft w:val="0"/>
                                      <w:marRight w:val="0"/>
                                      <w:marTop w:val="0"/>
                                      <w:marBottom w:val="0"/>
                                      <w:divBdr>
                                        <w:top w:val="none" w:sz="0" w:space="0" w:color="auto"/>
                                        <w:left w:val="none" w:sz="0" w:space="0" w:color="auto"/>
                                        <w:bottom w:val="none" w:sz="0" w:space="0" w:color="auto"/>
                                        <w:right w:val="none" w:sz="0" w:space="0" w:color="auto"/>
                                      </w:divBdr>
                                      <w:divsChild>
                                        <w:div w:id="882519620">
                                          <w:marLeft w:val="0"/>
                                          <w:marRight w:val="0"/>
                                          <w:marTop w:val="0"/>
                                          <w:marBottom w:val="0"/>
                                          <w:divBdr>
                                            <w:top w:val="none" w:sz="0" w:space="0" w:color="auto"/>
                                            <w:left w:val="none" w:sz="0" w:space="0" w:color="auto"/>
                                            <w:bottom w:val="none" w:sz="0" w:space="0" w:color="auto"/>
                                            <w:right w:val="none" w:sz="0" w:space="0" w:color="auto"/>
                                          </w:divBdr>
                                        </w:div>
                                        <w:div w:id="19359465">
                                          <w:marLeft w:val="0"/>
                                          <w:marRight w:val="0"/>
                                          <w:marTop w:val="0"/>
                                          <w:marBottom w:val="0"/>
                                          <w:divBdr>
                                            <w:top w:val="none" w:sz="0" w:space="0" w:color="auto"/>
                                            <w:left w:val="none" w:sz="0" w:space="0" w:color="auto"/>
                                            <w:bottom w:val="none" w:sz="0" w:space="0" w:color="auto"/>
                                            <w:right w:val="none" w:sz="0" w:space="0" w:color="auto"/>
                                          </w:divBdr>
                                        </w:div>
                                        <w:div w:id="745615119">
                                          <w:marLeft w:val="0"/>
                                          <w:marRight w:val="0"/>
                                          <w:marTop w:val="0"/>
                                          <w:marBottom w:val="0"/>
                                          <w:divBdr>
                                            <w:top w:val="none" w:sz="0" w:space="0" w:color="auto"/>
                                            <w:left w:val="none" w:sz="0" w:space="0" w:color="auto"/>
                                            <w:bottom w:val="none" w:sz="0" w:space="0" w:color="auto"/>
                                            <w:right w:val="none" w:sz="0" w:space="0" w:color="auto"/>
                                          </w:divBdr>
                                        </w:div>
                                        <w:div w:id="160191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775</Words>
  <Characters>4423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City of New Westminster</Company>
  <LinksUpToDate>false</LinksUpToDate>
  <CharactersWithSpaces>5188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Carie Sandferd</dc:creator>
  <cp:keywords/>
  <dc:description/>
  <cp:lastModifiedBy>Carie Sandferd</cp:lastModifiedBy>
  <cp:revision>4</cp:revision>
  <dcterms:created xsi:type="dcterms:W3CDTF">2015-10-30T17:37:00Z</dcterms:created>
  <dcterms:modified xsi:type="dcterms:W3CDTF">2015-10-30T17:42:00Z</dcterms:modified>
</cp:coreProperties>
</file>